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2ABACA" w14:textId="77777777" w:rsidR="00DF2DE7" w:rsidRPr="00BF1FB7" w:rsidRDefault="00DF2DE7">
      <w:pPr>
        <w:rPr>
          <w:rFonts w:ascii="DIN Next LT Arabic Light" w:hAnsi="DIN Next LT Arabic Light" w:cs="DIN Next LT Arabic Light"/>
          <w:color w:val="000000" w:themeColor="text1"/>
          <w:sz w:val="2"/>
          <w:szCs w:val="2"/>
          <w:rtl/>
        </w:rPr>
      </w:pPr>
    </w:p>
    <w:tbl>
      <w:tblPr>
        <w:tblpPr w:leftFromText="180" w:rightFromText="180" w:vertAnchor="text" w:horzAnchor="margin" w:tblpXSpec="center" w:tblpY="256"/>
        <w:bidiVisual/>
        <w:tblW w:w="15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2"/>
        <w:gridCol w:w="9650"/>
        <w:gridCol w:w="1559"/>
        <w:gridCol w:w="3541"/>
      </w:tblGrid>
      <w:tr w:rsidR="0049047C" w:rsidRPr="00BF1FB7" w14:paraId="0646CC9E" w14:textId="77777777" w:rsidTr="003B399E">
        <w:trPr>
          <w:trHeight w:val="979"/>
        </w:trPr>
        <w:tc>
          <w:tcPr>
            <w:tcW w:w="452" w:type="dxa"/>
            <w:shd w:val="clear" w:color="auto" w:fill="E7E6E6" w:themeFill="background2"/>
          </w:tcPr>
          <w:p w14:paraId="5C0BAE7D" w14:textId="76CA00D1" w:rsidR="004C438D" w:rsidRPr="00BF1FB7" w:rsidRDefault="004C438D" w:rsidP="00AB1665">
            <w:pPr>
              <w:ind w:left="720" w:hanging="720"/>
              <w:jc w:val="center"/>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w:t>
            </w:r>
          </w:p>
        </w:tc>
        <w:tc>
          <w:tcPr>
            <w:tcW w:w="9650" w:type="dxa"/>
            <w:shd w:val="clear" w:color="auto" w:fill="E7E6E6" w:themeFill="background2"/>
          </w:tcPr>
          <w:p w14:paraId="334B9B45" w14:textId="7E6AA367" w:rsidR="004C438D" w:rsidRPr="00BF1FB7" w:rsidRDefault="004C438D" w:rsidP="00AB1665">
            <w:pPr>
              <w:ind w:left="720" w:hanging="720"/>
              <w:jc w:val="center"/>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النص الوارد بالنظام الأساسي قبل الموائمة</w:t>
            </w:r>
          </w:p>
        </w:tc>
        <w:tc>
          <w:tcPr>
            <w:tcW w:w="1559" w:type="dxa"/>
            <w:shd w:val="clear" w:color="auto" w:fill="E7E6E6" w:themeFill="background2"/>
          </w:tcPr>
          <w:p w14:paraId="6663C8E8" w14:textId="65CFCA09" w:rsidR="003B399E" w:rsidRDefault="004C438D" w:rsidP="003B399E">
            <w:pPr>
              <w:ind w:left="720" w:hanging="720"/>
              <w:jc w:val="center"/>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 xml:space="preserve">حالة النص </w:t>
            </w:r>
            <w:r w:rsidR="003B399E" w:rsidRPr="00BF1FB7">
              <w:rPr>
                <w:rFonts w:ascii="DIN Next LT Arabic Light" w:hAnsi="DIN Next LT Arabic Light" w:cs="DIN Next LT Arabic Light" w:hint="cs"/>
                <w:b/>
                <w:bCs/>
                <w:color w:val="000000" w:themeColor="text1"/>
                <w:sz w:val="22"/>
                <w:szCs w:val="22"/>
                <w:rtl/>
              </w:rPr>
              <w:t>بع</w:t>
            </w:r>
            <w:r w:rsidR="003B399E">
              <w:rPr>
                <w:rFonts w:ascii="DIN Next LT Arabic Light" w:hAnsi="DIN Next LT Arabic Light" w:cs="DIN Next LT Arabic Light" w:hint="cs"/>
                <w:b/>
                <w:bCs/>
                <w:color w:val="000000" w:themeColor="text1"/>
                <w:sz w:val="22"/>
                <w:szCs w:val="22"/>
                <w:rtl/>
              </w:rPr>
              <w:t>د</w:t>
            </w:r>
            <w:r w:rsidR="003B399E" w:rsidRPr="00BF1FB7">
              <w:rPr>
                <w:rFonts w:ascii="DIN Next LT Arabic Light" w:hAnsi="DIN Next LT Arabic Light" w:cs="DIN Next LT Arabic Light" w:hint="cs"/>
                <w:b/>
                <w:bCs/>
                <w:color w:val="000000" w:themeColor="text1"/>
                <w:sz w:val="22"/>
                <w:szCs w:val="22"/>
                <w:rtl/>
              </w:rPr>
              <w:t xml:space="preserve"> الموائم</w:t>
            </w:r>
            <w:r w:rsidR="003B399E" w:rsidRPr="00BF1FB7">
              <w:rPr>
                <w:rFonts w:ascii="DIN Next LT Arabic Light" w:hAnsi="DIN Next LT Arabic Light" w:cs="DIN Next LT Arabic Light" w:hint="eastAsia"/>
                <w:b/>
                <w:bCs/>
                <w:color w:val="000000" w:themeColor="text1"/>
                <w:sz w:val="22"/>
                <w:szCs w:val="22"/>
                <w:rtl/>
              </w:rPr>
              <w:t>ة</w:t>
            </w:r>
          </w:p>
          <w:p w14:paraId="76907497" w14:textId="307728C5" w:rsidR="004C438D" w:rsidRPr="00BF1FB7" w:rsidRDefault="0049047C" w:rsidP="003B399E">
            <w:pPr>
              <w:ind w:left="720" w:hanging="720"/>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FF0000"/>
                <w:sz w:val="22"/>
                <w:szCs w:val="22"/>
                <w:rtl/>
              </w:rPr>
              <w:t>تغير</w:t>
            </w:r>
            <w:r>
              <w:rPr>
                <w:rFonts w:ascii="DIN Next LT Arabic Light" w:hAnsi="DIN Next LT Arabic Light" w:cs="DIN Next LT Arabic Light" w:hint="cs"/>
                <w:b/>
                <w:bCs/>
                <w:color w:val="000000" w:themeColor="text1"/>
                <w:sz w:val="22"/>
                <w:szCs w:val="22"/>
                <w:rtl/>
              </w:rPr>
              <w:t xml:space="preserve"> </w:t>
            </w:r>
            <w:r w:rsidR="00CE64F8">
              <w:rPr>
                <w:rFonts w:ascii="DIN Next LT Arabic Light" w:hAnsi="DIN Next LT Arabic Light" w:cs="DIN Next LT Arabic Light" w:hint="cs"/>
                <w:b/>
                <w:bCs/>
                <w:color w:val="000000" w:themeColor="text1"/>
                <w:sz w:val="22"/>
                <w:szCs w:val="22"/>
                <w:rtl/>
              </w:rPr>
              <w:t xml:space="preserve">/ </w:t>
            </w: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E7E6E6" w:themeFill="background2"/>
          </w:tcPr>
          <w:p w14:paraId="1ED5AC7C" w14:textId="6454D5E2" w:rsidR="004C438D" w:rsidRPr="00BF1FB7" w:rsidRDefault="00A829F5" w:rsidP="00AB1665">
            <w:pPr>
              <w:ind w:left="720" w:hanging="720"/>
              <w:jc w:val="center"/>
              <w:rPr>
                <w:rFonts w:ascii="DIN Next LT Arabic Light" w:hAnsi="DIN Next LT Arabic Light" w:cs="DIN Next LT Arabic Light"/>
                <w:b/>
                <w:bCs/>
                <w:color w:val="000000" w:themeColor="text1"/>
                <w:sz w:val="22"/>
                <w:szCs w:val="22"/>
                <w:rtl/>
              </w:rPr>
            </w:pPr>
            <w:r>
              <w:rPr>
                <w:rFonts w:ascii="DIN Next LT Arabic Light" w:hAnsi="DIN Next LT Arabic Light" w:cs="DIN Next LT Arabic Light" w:hint="cs"/>
                <w:b/>
                <w:bCs/>
                <w:color w:val="000000" w:themeColor="text1"/>
                <w:sz w:val="22"/>
                <w:szCs w:val="22"/>
                <w:rtl/>
              </w:rPr>
              <w:t xml:space="preserve"> المادة المعتمدة بعد التعديل </w:t>
            </w:r>
          </w:p>
        </w:tc>
      </w:tr>
      <w:tr w:rsidR="00BF1FB7" w:rsidRPr="00BF1FB7" w14:paraId="44C5CA9B" w14:textId="77777777" w:rsidTr="0049047C">
        <w:tc>
          <w:tcPr>
            <w:tcW w:w="452" w:type="dxa"/>
          </w:tcPr>
          <w:p w14:paraId="5B80313B" w14:textId="71CCB1F2"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37EE11D1" w14:textId="4731C5DB" w:rsidR="00BF1FB7" w:rsidRPr="00BF1FB7" w:rsidRDefault="00BF1FB7" w:rsidP="00BF1FB7">
            <w:pPr>
              <w:ind w:left="720" w:hanging="720"/>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(4): المشاركة والتملك في الشركات</w:t>
            </w:r>
          </w:p>
          <w:p w14:paraId="636F301E" w14:textId="4BC089CE" w:rsidR="00BF1FB7" w:rsidRPr="00BF1FB7" w:rsidRDefault="00BF1FB7" w:rsidP="00BF1FB7">
            <w:pPr>
              <w:autoSpaceDE w:val="0"/>
              <w:autoSpaceDN w:val="0"/>
              <w:adjustRightInd w:val="0"/>
              <w:jc w:val="both"/>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يجوز للشركة إنشاء شركات بمفردها (ذات مسؤولية محدودة أو مساهمة مقفلة)، كما يجوز لها أن تمتلك الأسهم والحصص في شركات أخرى قائمة أو تندمج معها ولها حق الاشتراك مع الغير في تأسيس الشركات المساهمة أو ذات المسؤولية المحدودة وذلك بعد استيفاء ما تتطلبه الأنظمة والتعليمات المتبعة في هذا الشأن. كما يجوز للشركة أن تتصرف في هذه الأسهم أو الحصص على ألا يشمل ذلك الوساطة في تداولها</w:t>
            </w:r>
            <w:r w:rsidRPr="00BF1FB7">
              <w:rPr>
                <w:rFonts w:ascii="DIN Next LT Arabic Light" w:hAnsi="DIN Next LT Arabic Light" w:cs="DIN Next LT Arabic Light"/>
                <w:color w:val="000000" w:themeColor="text1"/>
                <w:sz w:val="22"/>
                <w:szCs w:val="22"/>
              </w:rPr>
              <w:t>.</w:t>
            </w:r>
          </w:p>
        </w:tc>
        <w:tc>
          <w:tcPr>
            <w:tcW w:w="1559" w:type="dxa"/>
            <w:shd w:val="clear" w:color="auto" w:fill="auto"/>
          </w:tcPr>
          <w:p w14:paraId="0632860E" w14:textId="0B9B4DED"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FF0000"/>
                <w:sz w:val="22"/>
                <w:szCs w:val="22"/>
                <w:rtl/>
              </w:rPr>
              <w:t>تغير (محذوف)</w:t>
            </w:r>
          </w:p>
        </w:tc>
        <w:tc>
          <w:tcPr>
            <w:tcW w:w="3541" w:type="dxa"/>
            <w:shd w:val="clear" w:color="auto" w:fill="auto"/>
          </w:tcPr>
          <w:p w14:paraId="5B4D6FC5" w14:textId="14DDE783" w:rsidR="0093535D" w:rsidRPr="0093535D" w:rsidRDefault="00270CA8" w:rsidP="0093535D">
            <w:pPr>
              <w:ind w:left="27"/>
              <w:rPr>
                <w:rFonts w:ascii="DIN Next LT Arabic Light" w:hAnsi="DIN Next LT Arabic Light" w:cs="DIN Next LT Arabic Light"/>
                <w:color w:val="000000" w:themeColor="text1"/>
                <w:sz w:val="22"/>
                <w:szCs w:val="22"/>
                <w:rtl/>
              </w:rPr>
            </w:pPr>
            <w:r>
              <w:rPr>
                <w:rFonts w:ascii="DIN Next LT Arabic Light" w:hAnsi="DIN Next LT Arabic Light" w:cs="DIN Next LT Arabic Light" w:hint="cs"/>
                <w:color w:val="000000" w:themeColor="text1"/>
                <w:sz w:val="22"/>
                <w:szCs w:val="22"/>
                <w:rtl/>
              </w:rPr>
              <w:t xml:space="preserve">حذف المادة مع </w:t>
            </w:r>
            <w:r w:rsidR="00BF1FB7" w:rsidRPr="00BF1FB7">
              <w:rPr>
                <w:rFonts w:ascii="DIN Next LT Arabic Light" w:hAnsi="DIN Next LT Arabic Light" w:cs="DIN Next LT Arabic Light" w:hint="cs"/>
                <w:color w:val="000000" w:themeColor="text1"/>
                <w:sz w:val="22"/>
                <w:szCs w:val="22"/>
                <w:rtl/>
              </w:rPr>
              <w:t>الموائمة</w:t>
            </w:r>
          </w:p>
        </w:tc>
      </w:tr>
      <w:tr w:rsidR="00BF1FB7" w:rsidRPr="00BF1FB7" w14:paraId="75044059" w14:textId="77777777" w:rsidTr="0049047C">
        <w:trPr>
          <w:trHeight w:val="983"/>
        </w:trPr>
        <w:tc>
          <w:tcPr>
            <w:tcW w:w="452" w:type="dxa"/>
          </w:tcPr>
          <w:p w14:paraId="3939A540"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66A4118F" w14:textId="5FED99FF"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(9): الأسهم الممتازة</w:t>
            </w:r>
          </w:p>
          <w:p w14:paraId="3F4292C3" w14:textId="6763108F" w:rsidR="00BF1FB7" w:rsidRPr="00BF1FB7" w:rsidRDefault="00BF1FB7" w:rsidP="00BF1FB7">
            <w:pPr>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يجوز للجمعية العامة غير العادية للشركة طبقا للأسس التي تضعها الجهة المختصة أن تصدر أسهماً ممتازة أو أن تقرر شراءها أو تحويل أسهم عادية إلى أسهم ممتازة أو تحويل الأسهم الممتازة إلى عادية ولا تعطي الأسهم الممتازة الحق في التصويت في الجمعيات العامة للمساهمين وترتب هذه الأسهم لأصحابها الحق في الحصول على نسبة أكثر من أصحاب الأسهم العادية من الأرباح الصافية للشركة بعد تجنيب الاحتياطي النظامي</w:t>
            </w:r>
            <w:r w:rsidRPr="00BF1FB7">
              <w:rPr>
                <w:rFonts w:ascii="DIN Next LT Arabic Light" w:hAnsi="DIN Next LT Arabic Light" w:cs="DIN Next LT Arabic Light"/>
                <w:color w:val="000000" w:themeColor="text1"/>
                <w:sz w:val="22"/>
                <w:szCs w:val="22"/>
              </w:rPr>
              <w:t>.</w:t>
            </w:r>
            <w:r w:rsidRPr="00BF1FB7">
              <w:rPr>
                <w:rFonts w:ascii="DIN Next LT Arabic Light" w:hAnsi="DIN Next LT Arabic Light" w:cs="DIN Next LT Arabic Light"/>
                <w:color w:val="000000" w:themeColor="text1"/>
                <w:sz w:val="22"/>
                <w:szCs w:val="22"/>
                <w:rtl/>
              </w:rPr>
              <w:t xml:space="preserve"> </w:t>
            </w:r>
          </w:p>
        </w:tc>
        <w:tc>
          <w:tcPr>
            <w:tcW w:w="1559" w:type="dxa"/>
            <w:shd w:val="clear" w:color="auto" w:fill="auto"/>
          </w:tcPr>
          <w:p w14:paraId="5F72A4BA" w14:textId="64FDAF61"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auto"/>
          </w:tcPr>
          <w:p w14:paraId="4C265128" w14:textId="7CA0D99B" w:rsidR="00BF1FB7" w:rsidRPr="00BF1FB7" w:rsidRDefault="00C661D1" w:rsidP="0049047C">
            <w:pPr>
              <w:ind w:left="27"/>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hint="cs"/>
                <w:color w:val="000000" w:themeColor="text1"/>
                <w:sz w:val="22"/>
                <w:szCs w:val="22"/>
                <w:rtl/>
              </w:rPr>
              <w:t>يجوز</w:t>
            </w:r>
            <w:r w:rsidRPr="00BF1FB7">
              <w:rPr>
                <w:rFonts w:ascii="DIN Next LT Arabic Light" w:hAnsi="DIN Next LT Arabic Light" w:cs="DIN Next LT Arabic Light"/>
                <w:color w:val="000000" w:themeColor="text1"/>
                <w:sz w:val="22"/>
                <w:szCs w:val="22"/>
                <w:rtl/>
              </w:rPr>
              <w:t xml:space="preserve"> للجمعية العامة غير العادية للشركة طبقا للأسس التي تضعها الجهة المختصة أن تصدر أسهماً ممتازة أو أن تقرر شراءها أو تحويل أسهم عادية إلى أسهم ممتازة أو تحويل الأسهم الممتازة إلى عادية ولا تعطي الأسهم الممتازة الحق في التصويت في الجمعيات العامة للمساهمين وترتب هذه الأسهم لأصحابها الحق في الحصول على نسبة أكثر من أصحاب الأسهم العادية من الأرباح الصافية للشركة بعد تجنيب الاحتياطي النظامي</w:t>
            </w:r>
          </w:p>
        </w:tc>
      </w:tr>
      <w:tr w:rsidR="00BF1FB7" w:rsidRPr="00BF1FB7" w14:paraId="1F190590" w14:textId="77777777" w:rsidTr="0049047C">
        <w:trPr>
          <w:trHeight w:val="983"/>
        </w:trPr>
        <w:tc>
          <w:tcPr>
            <w:tcW w:w="452" w:type="dxa"/>
          </w:tcPr>
          <w:p w14:paraId="60754DFD"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3F2587D9" w14:textId="73856B61"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 xml:space="preserve">مادة (10): بيع الأسهم الغير مستوفاة القيمة </w:t>
            </w:r>
          </w:p>
          <w:p w14:paraId="1DD970DE" w14:textId="0BED0843" w:rsidR="00BF1FB7" w:rsidRPr="00BF1FB7" w:rsidRDefault="00BF1FB7" w:rsidP="00BF1FB7">
            <w:p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يلتزم المساهم بدفع قيمة السهم في المواعيد المحددة لذلك، وإذا تخلف عن الوفاء في ميعاد الاستحقاق، جاز لمجلس الإدارة - بعد إعلامه بخطاب مسجل على عنوانه المثبت في سجل المساهمين - بيع السهم في المزاد العلني وفقا للضوابط التي تحددها الجهة المختصة</w:t>
            </w:r>
            <w:r w:rsidRPr="00BF1FB7">
              <w:rPr>
                <w:rFonts w:ascii="DIN Next LT Arabic Light" w:hAnsi="DIN Next LT Arabic Light" w:cs="DIN Next LT Arabic Light"/>
                <w:color w:val="000000" w:themeColor="text1"/>
                <w:sz w:val="22"/>
                <w:szCs w:val="22"/>
              </w:rPr>
              <w:t>.</w:t>
            </w:r>
          </w:p>
          <w:p w14:paraId="39CBB0BE" w14:textId="3D8BD784" w:rsidR="00BF1FB7" w:rsidRPr="00BF1FB7" w:rsidRDefault="00BF1FB7" w:rsidP="00BF1FB7">
            <w:p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وتستوفي الشركة من حصيلة البيع المبالغ المستحقة لها بما في ذلك مصروفات المزاد وترد الباقي إلى صاحب السهم، وإذا لم تكف حصيلة البيع للوفاء بهذه المبالغ، جاز للشركة أن تستوفى الباقي من جميع أموال المساهم</w:t>
            </w:r>
            <w:r w:rsidRPr="00BF1FB7">
              <w:rPr>
                <w:rFonts w:ascii="DIN Next LT Arabic Light" w:hAnsi="DIN Next LT Arabic Light" w:cs="DIN Next LT Arabic Light"/>
                <w:color w:val="000000" w:themeColor="text1"/>
                <w:sz w:val="22"/>
                <w:szCs w:val="22"/>
              </w:rPr>
              <w:t>.</w:t>
            </w:r>
          </w:p>
          <w:p w14:paraId="5648366C" w14:textId="47473F97" w:rsidR="00BF1FB7" w:rsidRPr="00BF1FB7" w:rsidRDefault="00BF1FB7" w:rsidP="00BF1FB7">
            <w:p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lastRenderedPageBreak/>
              <w:t>ومع ذلك يجوز للمساهم المتخلف عن الدفع إلى يوم البيع دفع القيمة المستحقة عليه مضافاً إليها المصروفات التي أنفقتها الشركة في هذا الشأن</w:t>
            </w:r>
            <w:r w:rsidRPr="00BF1FB7">
              <w:rPr>
                <w:rFonts w:ascii="DIN Next LT Arabic Light" w:hAnsi="DIN Next LT Arabic Light" w:cs="DIN Next LT Arabic Light"/>
                <w:color w:val="000000" w:themeColor="text1"/>
                <w:sz w:val="22"/>
                <w:szCs w:val="22"/>
              </w:rPr>
              <w:t>.</w:t>
            </w:r>
          </w:p>
          <w:p w14:paraId="2B5CBF6D" w14:textId="50661707" w:rsidR="00BF1FB7" w:rsidRPr="00BF1FB7" w:rsidRDefault="00BF1FB7" w:rsidP="00BF1FB7">
            <w:pPr>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وتلغي الشركة السهم المبيع وفقاً لأحكام هذه المادة، وتعطي المشترى سهماً جديداً يحمل رقم السهم الملغي، وتؤشر في سجل الأسهم بوقوع البيع مع بيان اسم المالك الجديد</w:t>
            </w:r>
            <w:r w:rsidRPr="00BF1FB7">
              <w:rPr>
                <w:rFonts w:ascii="DIN Next LT Arabic Light" w:hAnsi="DIN Next LT Arabic Light" w:cs="DIN Next LT Arabic Light"/>
                <w:color w:val="000000" w:themeColor="text1"/>
                <w:sz w:val="22"/>
                <w:szCs w:val="22"/>
              </w:rPr>
              <w:t>.</w:t>
            </w:r>
            <w:r w:rsidRPr="00BF1FB7">
              <w:rPr>
                <w:rFonts w:ascii="DIN Next LT Arabic Light" w:hAnsi="DIN Next LT Arabic Light" w:cs="DIN Next LT Arabic Light"/>
                <w:color w:val="000000" w:themeColor="text1"/>
                <w:sz w:val="22"/>
                <w:szCs w:val="22"/>
                <w:rtl/>
              </w:rPr>
              <w:t xml:space="preserve"> </w:t>
            </w:r>
          </w:p>
        </w:tc>
        <w:tc>
          <w:tcPr>
            <w:tcW w:w="1559" w:type="dxa"/>
            <w:shd w:val="clear" w:color="auto" w:fill="auto"/>
          </w:tcPr>
          <w:p w14:paraId="61D5BB5F" w14:textId="733DFF11"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lastRenderedPageBreak/>
              <w:t>لم يتغير</w:t>
            </w:r>
          </w:p>
        </w:tc>
        <w:tc>
          <w:tcPr>
            <w:tcW w:w="3541" w:type="dxa"/>
            <w:shd w:val="clear" w:color="auto" w:fill="auto"/>
          </w:tcPr>
          <w:p w14:paraId="513BA356" w14:textId="21E31374" w:rsidR="00BF1FB7" w:rsidRDefault="00BF1FB7" w:rsidP="00BF1FB7">
            <w:pPr>
              <w:ind w:left="27"/>
              <w:rPr>
                <w:rFonts w:ascii="DIN Next LT Arabic Light" w:hAnsi="DIN Next LT Arabic Light" w:cs="DIN Next LT Arabic Light"/>
                <w:color w:val="000000" w:themeColor="text1"/>
                <w:sz w:val="22"/>
                <w:szCs w:val="22"/>
                <w:rtl/>
              </w:rPr>
            </w:pPr>
          </w:p>
          <w:p w14:paraId="31D184B5" w14:textId="77777777" w:rsidR="00C661D1" w:rsidRPr="00BF1FB7" w:rsidRDefault="00C661D1" w:rsidP="00C661D1">
            <w:p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 xml:space="preserve">يلتزم المساهم بدفع قيمة السهم في المواعيد المحددة لذلك، وإذا تخلف عن الوفاء في ميعاد الاستحقاق، جاز لمجلس الإدارة - بعد إعلامه بخطاب مسجل على عنوانه المثبت في سجل المساهمين - بيع </w:t>
            </w:r>
            <w:r w:rsidRPr="00BF1FB7">
              <w:rPr>
                <w:rFonts w:ascii="DIN Next LT Arabic Light" w:hAnsi="DIN Next LT Arabic Light" w:cs="DIN Next LT Arabic Light"/>
                <w:color w:val="000000" w:themeColor="text1"/>
                <w:sz w:val="22"/>
                <w:szCs w:val="22"/>
                <w:rtl/>
              </w:rPr>
              <w:lastRenderedPageBreak/>
              <w:t>السهم في المزاد العلني وفقا للضوابط التي تحددها الجهة المختصة</w:t>
            </w:r>
            <w:r w:rsidRPr="00BF1FB7">
              <w:rPr>
                <w:rFonts w:ascii="DIN Next LT Arabic Light" w:hAnsi="DIN Next LT Arabic Light" w:cs="DIN Next LT Arabic Light"/>
                <w:color w:val="000000" w:themeColor="text1"/>
                <w:sz w:val="22"/>
                <w:szCs w:val="22"/>
              </w:rPr>
              <w:t>.</w:t>
            </w:r>
          </w:p>
          <w:p w14:paraId="4DDCEBCB" w14:textId="77777777" w:rsidR="00C661D1" w:rsidRPr="00BF1FB7" w:rsidRDefault="00C661D1" w:rsidP="0049047C">
            <w:pPr>
              <w:jc w:val="both"/>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وتستوفي الشركة من حصيلة البيع المبالغ المستحقة لها بما في ذلك مصروفات المزاد وترد الباقي إلى صاحب السهم، وإذا لم تكف حصيلة البيع للوفاء بهذه المبالغ، جاز للشركة أن تستوفى الباقي من جميع أموال المساهم</w:t>
            </w:r>
            <w:r w:rsidRPr="00BF1FB7">
              <w:rPr>
                <w:rFonts w:ascii="DIN Next LT Arabic Light" w:hAnsi="DIN Next LT Arabic Light" w:cs="DIN Next LT Arabic Light"/>
                <w:color w:val="000000" w:themeColor="text1"/>
                <w:sz w:val="22"/>
                <w:szCs w:val="22"/>
              </w:rPr>
              <w:t>.</w:t>
            </w:r>
          </w:p>
          <w:p w14:paraId="2F4EB4FF" w14:textId="77777777" w:rsidR="00C661D1" w:rsidRPr="00BF1FB7" w:rsidRDefault="00C661D1" w:rsidP="0049047C">
            <w:pPr>
              <w:jc w:val="both"/>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ومع ذلك يجوز للمساهم المتخلف عن الدفع إلى يوم البيع دفع القيمة المستحقة عليه مضافاً إليها المصروفات التي أنفقتها الشركة في هذا الشأن</w:t>
            </w:r>
            <w:r w:rsidRPr="00BF1FB7">
              <w:rPr>
                <w:rFonts w:ascii="DIN Next LT Arabic Light" w:hAnsi="DIN Next LT Arabic Light" w:cs="DIN Next LT Arabic Light"/>
                <w:color w:val="000000" w:themeColor="text1"/>
                <w:sz w:val="22"/>
                <w:szCs w:val="22"/>
              </w:rPr>
              <w:t>.</w:t>
            </w:r>
          </w:p>
          <w:p w14:paraId="5F8226D8" w14:textId="33FDE215" w:rsidR="00C661D1" w:rsidRPr="00BF1FB7" w:rsidRDefault="00C661D1" w:rsidP="0049047C">
            <w:pPr>
              <w:ind w:left="27"/>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وتلغي الشركة السهم المبيع وفقاً لأحكام هذه المادة، وتعطي المشترى سهماً جديداً يحمل رقم السهم الملغي، وتؤشر في سجل الأسهم بوقوع البيع مع بيان اسم المالك الجديد</w:t>
            </w:r>
            <w:r w:rsidR="00270CA8">
              <w:rPr>
                <w:rFonts w:ascii="DIN Next LT Arabic Light" w:hAnsi="DIN Next LT Arabic Light" w:cs="DIN Next LT Arabic Light" w:hint="cs"/>
                <w:color w:val="000000" w:themeColor="text1"/>
                <w:sz w:val="22"/>
                <w:szCs w:val="22"/>
                <w:rtl/>
              </w:rPr>
              <w:t>.</w:t>
            </w:r>
          </w:p>
        </w:tc>
      </w:tr>
      <w:tr w:rsidR="00BF1FB7" w:rsidRPr="00BF1FB7" w14:paraId="76A0546A" w14:textId="77777777" w:rsidTr="0049047C">
        <w:trPr>
          <w:trHeight w:val="983"/>
        </w:trPr>
        <w:tc>
          <w:tcPr>
            <w:tcW w:w="452" w:type="dxa"/>
          </w:tcPr>
          <w:p w14:paraId="525BB6EF"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1DF717AB" w14:textId="0F3DD687" w:rsidR="00BF1FB7" w:rsidRPr="00BF1FB7" w:rsidRDefault="00BF1FB7" w:rsidP="00BF1FB7">
            <w:pPr>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 xml:space="preserve">مادة (11): إصدار الأسهم </w:t>
            </w:r>
          </w:p>
          <w:p w14:paraId="6DDABC6B" w14:textId="7A1D16AB" w:rsidR="00BF1FB7" w:rsidRPr="00BF1FB7" w:rsidRDefault="00BF1FB7" w:rsidP="00BF1FB7">
            <w:pPr>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تكون الأسهم إسمية ولا يجوز أن تصدر بأقل من قيمتها الإسمية، وإنما يجوز أن تصدر بأعلى من هذه القيمة، وفي هذه الحالة الأخيرة يضاف فرق القيمة في بند مستقل ضمن حقوق المساهمين، ولا يجوز توزيعها كأرباح على المساهمين.</w:t>
            </w:r>
          </w:p>
          <w:p w14:paraId="2B53B0FF" w14:textId="0B09FC0A" w:rsidR="00BF1FB7" w:rsidRPr="00BF1FB7" w:rsidRDefault="00BF1FB7" w:rsidP="00BF1FB7">
            <w:pPr>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والسهم غير قابل للتجزئة في مواجهة الشركة، فإذا ملك السهم أشخاص متعددون وجب عليهم أن يختاروا أحدهم لينوب عنهم في استعمال الحقوق المتعلقة به، ويكون هؤلاء الأشخاص مسؤولين بالتضامن عن الالتزامات الناشئة عن ملكية السهم</w:t>
            </w:r>
            <w:r w:rsidRPr="00BF1FB7">
              <w:rPr>
                <w:rFonts w:ascii="DIN Next LT Arabic Light" w:hAnsi="DIN Next LT Arabic Light" w:cs="DIN Next LT Arabic Light"/>
                <w:color w:val="000000" w:themeColor="text1"/>
                <w:sz w:val="22"/>
                <w:szCs w:val="22"/>
              </w:rPr>
              <w:t>.</w:t>
            </w:r>
          </w:p>
        </w:tc>
        <w:tc>
          <w:tcPr>
            <w:tcW w:w="1559" w:type="dxa"/>
            <w:shd w:val="clear" w:color="auto" w:fill="auto"/>
          </w:tcPr>
          <w:p w14:paraId="2C63D481" w14:textId="2AAD78D6"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auto"/>
          </w:tcPr>
          <w:p w14:paraId="7A9EAE4A" w14:textId="77777777" w:rsidR="00835E72" w:rsidRPr="00BF1FB7" w:rsidRDefault="00835E72" w:rsidP="0049047C">
            <w:pPr>
              <w:jc w:val="both"/>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تكون الأسهم إسمية ولا يجوز أن تصدر بأقل من قيمتها الإسمية، وإنما يجوز أن تصدر بأعلى من هذه القيمة، وفي هذه الحالة الأخيرة يضاف فرق القيمة في بند مستقل ضمن حقوق المساهمين، ولا يجوز توزيعها كأرباح على المساهمين.</w:t>
            </w:r>
          </w:p>
          <w:p w14:paraId="0CDC3315" w14:textId="0911BE26" w:rsidR="00BF1FB7" w:rsidRPr="00BF1FB7" w:rsidRDefault="00835E72" w:rsidP="00516F3A">
            <w:pPr>
              <w:ind w:left="27"/>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 xml:space="preserve">والسهم غير قابل للتجزئة في مواجهة الشركة، فإذا ملك السهم أشخاص متعددون وجب عليهم أن يختاروا أحدهم لينوب عنهم في استعمال الحقوق </w:t>
            </w:r>
            <w:r w:rsidRPr="00BF1FB7">
              <w:rPr>
                <w:rFonts w:ascii="DIN Next LT Arabic Light" w:hAnsi="DIN Next LT Arabic Light" w:cs="DIN Next LT Arabic Light"/>
                <w:color w:val="000000" w:themeColor="text1"/>
                <w:sz w:val="22"/>
                <w:szCs w:val="22"/>
                <w:rtl/>
              </w:rPr>
              <w:lastRenderedPageBreak/>
              <w:t>المتعلقة به، ويكون هؤلاء الأشخاص مسؤولين بالتضامن عن الالتزامات الناشئة عن ملكية السهم</w:t>
            </w:r>
            <w:r w:rsidRPr="00BF1FB7">
              <w:rPr>
                <w:rFonts w:ascii="DIN Next LT Arabic Light" w:hAnsi="DIN Next LT Arabic Light" w:cs="DIN Next LT Arabic Light"/>
                <w:color w:val="000000" w:themeColor="text1"/>
                <w:sz w:val="22"/>
                <w:szCs w:val="22"/>
              </w:rPr>
              <w:t>.</w:t>
            </w:r>
          </w:p>
        </w:tc>
      </w:tr>
      <w:tr w:rsidR="00BF1FB7" w:rsidRPr="00BF1FB7" w14:paraId="32A613C9" w14:textId="77777777" w:rsidTr="0049047C">
        <w:trPr>
          <w:trHeight w:val="983"/>
        </w:trPr>
        <w:tc>
          <w:tcPr>
            <w:tcW w:w="452" w:type="dxa"/>
          </w:tcPr>
          <w:p w14:paraId="5EA3B11A"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7FD351A7" w14:textId="2385CA04"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(12):</w:t>
            </w:r>
            <w:r w:rsidRPr="00BF1FB7">
              <w:rPr>
                <w:rFonts w:ascii="DIN Next LT Arabic Light" w:eastAsia="Calibri" w:hAnsi="DIN Next LT Arabic Light" w:cs="DIN Next LT Arabic Light"/>
                <w:b/>
                <w:bCs/>
                <w:color w:val="000000" w:themeColor="text1"/>
                <w:sz w:val="22"/>
                <w:szCs w:val="22"/>
                <w:rtl/>
              </w:rPr>
              <w:t xml:space="preserve"> </w:t>
            </w:r>
            <w:r w:rsidRPr="00BF1FB7">
              <w:rPr>
                <w:rFonts w:ascii="DIN Next LT Arabic Light" w:hAnsi="DIN Next LT Arabic Light" w:cs="DIN Next LT Arabic Light"/>
                <w:b/>
                <w:bCs/>
                <w:color w:val="000000" w:themeColor="text1"/>
                <w:sz w:val="22"/>
                <w:szCs w:val="22"/>
                <w:rtl/>
              </w:rPr>
              <w:t>تداول الأسهم</w:t>
            </w:r>
          </w:p>
          <w:p w14:paraId="68F06A47" w14:textId="63C798BA" w:rsidR="00BF1FB7" w:rsidRPr="00BF1FB7" w:rsidRDefault="00BF1FB7" w:rsidP="00BF1FB7">
            <w:p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لا يجوز تداول الأسهم التي يكتتب بها المؤسسون إلا بعد نشر القوائم المالية عن سنتين ماليتين لا تقل كل منها عن اثني عشر شهراً من تاريخ تأسيس الشركة، ويؤشر على صكوك هذه الأسهم بما يدل على نوعها وتاريخ تأسيس الشركة والمدة التي يمنع فيها تداولها</w:t>
            </w:r>
            <w:r w:rsidRPr="00BF1FB7">
              <w:rPr>
                <w:rFonts w:ascii="DIN Next LT Arabic Light" w:hAnsi="DIN Next LT Arabic Light" w:cs="DIN Next LT Arabic Light"/>
                <w:color w:val="000000" w:themeColor="text1"/>
                <w:sz w:val="22"/>
                <w:szCs w:val="22"/>
              </w:rPr>
              <w:t>.</w:t>
            </w:r>
          </w:p>
          <w:p w14:paraId="6A2A144F" w14:textId="4A02D732" w:rsidR="00BF1FB7" w:rsidRPr="00BF1FB7" w:rsidRDefault="00BF1FB7" w:rsidP="00BF1FB7">
            <w:p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ومع ذلك يجوز خلال مدة الحظر نقل ملكية الأسهم وفقا لأحكام بيع الحقوق من أحد المؤسسين إلى مؤسس آخر أو من ورثة أحد المؤسسين في حالة وفاته إلى الغير أو في حالة التنفيذ على أموال المؤسس المعسر أو المفلس، على أن تكون أولوية امتلاك تلك الأسهم للمؤسسين الآخرين</w:t>
            </w:r>
            <w:r w:rsidRPr="00BF1FB7">
              <w:rPr>
                <w:rFonts w:ascii="DIN Next LT Arabic Light" w:hAnsi="DIN Next LT Arabic Light" w:cs="DIN Next LT Arabic Light"/>
                <w:color w:val="000000" w:themeColor="text1"/>
                <w:sz w:val="22"/>
                <w:szCs w:val="22"/>
              </w:rPr>
              <w:t>.</w:t>
            </w:r>
          </w:p>
          <w:p w14:paraId="6B5A17D4" w14:textId="77777777" w:rsidR="00BF1FB7" w:rsidRPr="00BF1FB7" w:rsidRDefault="00BF1FB7" w:rsidP="00BF1FB7">
            <w:pPr>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وتسري أحكام هذه المادة على ما يكتتب به المؤسسون في حالة زيادة رأس المال قبل انقضاء مدة الحظر</w:t>
            </w:r>
            <w:r w:rsidRPr="00BF1FB7">
              <w:rPr>
                <w:rFonts w:ascii="DIN Next LT Arabic Light" w:hAnsi="DIN Next LT Arabic Light" w:cs="DIN Next LT Arabic Light"/>
                <w:color w:val="000000" w:themeColor="text1"/>
                <w:sz w:val="22"/>
                <w:szCs w:val="22"/>
              </w:rPr>
              <w:t>.</w:t>
            </w:r>
          </w:p>
          <w:p w14:paraId="7A5106E4" w14:textId="77777777"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ab/>
              <w:t xml:space="preserve"> </w:t>
            </w:r>
          </w:p>
        </w:tc>
        <w:tc>
          <w:tcPr>
            <w:tcW w:w="1559" w:type="dxa"/>
            <w:shd w:val="clear" w:color="auto" w:fill="auto"/>
          </w:tcPr>
          <w:p w14:paraId="34BC83CA" w14:textId="5C017B00"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auto"/>
          </w:tcPr>
          <w:p w14:paraId="7C2097DB" w14:textId="77777777" w:rsidR="006769B7" w:rsidRPr="00BF1FB7" w:rsidRDefault="006769B7" w:rsidP="006769B7">
            <w:p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لا يجوز تداول الأسهم التي يكتتب بها المؤسسون إلا بعد نشر القوائم المالية عن سنتين ماليتين لا تقل كل منها عن اثني عشر شهراً من تاريخ تأسيس الشركة، ويؤشر على صكوك هذه الأسهم بما يدل على نوعها وتاريخ تأسيس الشركة والمدة التي يمنع فيها تداولها</w:t>
            </w:r>
            <w:r w:rsidRPr="00BF1FB7">
              <w:rPr>
                <w:rFonts w:ascii="DIN Next LT Arabic Light" w:hAnsi="DIN Next LT Arabic Light" w:cs="DIN Next LT Arabic Light"/>
                <w:color w:val="000000" w:themeColor="text1"/>
                <w:sz w:val="22"/>
                <w:szCs w:val="22"/>
              </w:rPr>
              <w:t>.</w:t>
            </w:r>
          </w:p>
          <w:p w14:paraId="096E9C48" w14:textId="77777777" w:rsidR="006769B7" w:rsidRPr="00BF1FB7" w:rsidRDefault="006769B7" w:rsidP="006769B7">
            <w:p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ومع ذلك يجوز خلال مدة الحظر نقل ملكية الأسهم وفقا لأحكام بيع الحقوق من أحد المؤسسين إلى مؤسس آخر أو من ورثة أحد المؤسسين في حالة وفاته إلى الغير أو في حالة التنفيذ على أموال المؤسس المعسر أو المفلس، على أن تكون أولوية امتلاك تلك الأسهم للمؤسسين الآخرين</w:t>
            </w:r>
            <w:r w:rsidRPr="00BF1FB7">
              <w:rPr>
                <w:rFonts w:ascii="DIN Next LT Arabic Light" w:hAnsi="DIN Next LT Arabic Light" w:cs="DIN Next LT Arabic Light"/>
                <w:color w:val="000000" w:themeColor="text1"/>
                <w:sz w:val="22"/>
                <w:szCs w:val="22"/>
              </w:rPr>
              <w:t>.</w:t>
            </w:r>
          </w:p>
          <w:p w14:paraId="3F18BA0B" w14:textId="6C2E5FA5" w:rsidR="00BF1FB7" w:rsidRPr="00BF1FB7" w:rsidRDefault="006769B7" w:rsidP="006769B7">
            <w:pPr>
              <w:ind w:left="27"/>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وتسري أحكام هذه المادة على ما يكتتب به المؤسسون في حالة زيادة رأس المال قبل انقضاء مدة الحظر</w:t>
            </w:r>
          </w:p>
        </w:tc>
      </w:tr>
      <w:tr w:rsidR="00BF1FB7" w:rsidRPr="00BF1FB7" w14:paraId="58D22A29" w14:textId="77777777" w:rsidTr="0049047C">
        <w:trPr>
          <w:trHeight w:val="983"/>
        </w:trPr>
        <w:tc>
          <w:tcPr>
            <w:tcW w:w="452" w:type="dxa"/>
          </w:tcPr>
          <w:p w14:paraId="240A9A93"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2851CD0E" w14:textId="48CE0E62"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(13): سجل المساهمين</w:t>
            </w:r>
          </w:p>
          <w:p w14:paraId="65344D0D" w14:textId="4B580D70" w:rsidR="00BF1FB7" w:rsidRPr="00BF1FB7" w:rsidRDefault="00BF1FB7" w:rsidP="00BF1FB7">
            <w:pPr>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تتداول أسهم الشركة بالقيد في سجل المساهمين الذي تعده أو تتعاقد على إعداده الشركة، الذي يتضمن أسماء المساهمين وجنسياتهم وأماكن إقامتهم ومهنهم وأرقام الأسهم والقدر المدفوع منها، ويؤشر في هذا القيد على السهم. ولا يعتد بنقل ملكية السهم الإسمي في مواجهة الشركة أو الغير إلا من تاريخ القيد في السجل المذكور.</w:t>
            </w:r>
          </w:p>
        </w:tc>
        <w:tc>
          <w:tcPr>
            <w:tcW w:w="1559" w:type="dxa"/>
            <w:shd w:val="clear" w:color="auto" w:fill="auto"/>
          </w:tcPr>
          <w:p w14:paraId="2D2BD801" w14:textId="3B1FC81F"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auto"/>
          </w:tcPr>
          <w:p w14:paraId="060A6BB1" w14:textId="509EF20F" w:rsidR="00BF1FB7" w:rsidRPr="00BF1FB7" w:rsidRDefault="006769B7" w:rsidP="00516F3A">
            <w:pPr>
              <w:ind w:left="27"/>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 xml:space="preserve">تتداول أسهم الشركة بالقيد في سجل المساهمين الذي تعده أو تتعاقد على إعداده الشركة، الذي يتضمن أسماء المساهمين وجنسياتهم وأماكن إقامتهم ومهنهم وأرقام الأسهم والقدر المدفوع منها، ويؤشر في هذا القيد على السهم. ولا يعتد بنقل ملكية السهم الإسمي في </w:t>
            </w:r>
            <w:r w:rsidRPr="00BF1FB7">
              <w:rPr>
                <w:rFonts w:ascii="DIN Next LT Arabic Light" w:hAnsi="DIN Next LT Arabic Light" w:cs="DIN Next LT Arabic Light"/>
                <w:color w:val="000000" w:themeColor="text1"/>
                <w:sz w:val="22"/>
                <w:szCs w:val="22"/>
                <w:rtl/>
              </w:rPr>
              <w:lastRenderedPageBreak/>
              <w:t>مواجهة الشركة أو الغير إلا من تاريخ القيد في السجل المذكور.</w:t>
            </w:r>
          </w:p>
        </w:tc>
      </w:tr>
      <w:tr w:rsidR="00BF1FB7" w:rsidRPr="00BF1FB7" w14:paraId="21DFE7C9" w14:textId="77777777" w:rsidTr="0049047C">
        <w:trPr>
          <w:trHeight w:val="983"/>
        </w:trPr>
        <w:tc>
          <w:tcPr>
            <w:tcW w:w="452" w:type="dxa"/>
          </w:tcPr>
          <w:p w14:paraId="245046B5"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2AAF9764" w14:textId="45D8AC21" w:rsidR="00BF1FB7" w:rsidRPr="00BF1FB7" w:rsidRDefault="00BF1FB7" w:rsidP="00BF1FB7">
            <w:pPr>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(14): شراء الشركة لأسهمها وبيعها وارتهانها ورهنها:</w:t>
            </w:r>
          </w:p>
          <w:p w14:paraId="144BCF23" w14:textId="77777777" w:rsidR="00BF1FB7" w:rsidRPr="00BF1FB7" w:rsidRDefault="00BF1FB7" w:rsidP="00BF1FB7">
            <w:pPr>
              <w:pStyle w:val="ListParagraph"/>
              <w:numPr>
                <w:ilvl w:val="0"/>
                <w:numId w:val="2"/>
              </w:numPr>
              <w:tabs>
                <w:tab w:val="center" w:pos="326"/>
                <w:tab w:val="right" w:pos="8306"/>
              </w:tabs>
              <w:ind w:left="326" w:hanging="284"/>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يجوز للشركة بموافقة الجمعية العامة غير العادية أن تشتري أسهمها، وفقاً للضوابط التي تضعها الجهة المختصة، ولا يكون للأسهم التي تشتريها الشركة أصوات في جمعيات المساهمين.</w:t>
            </w:r>
          </w:p>
          <w:p w14:paraId="5EC13D95" w14:textId="77777777" w:rsidR="00BF1FB7" w:rsidRPr="00BF1FB7" w:rsidRDefault="00BF1FB7" w:rsidP="00BF1FB7">
            <w:pPr>
              <w:pStyle w:val="ListParagraph"/>
              <w:numPr>
                <w:ilvl w:val="0"/>
                <w:numId w:val="2"/>
              </w:numPr>
              <w:tabs>
                <w:tab w:val="center" w:pos="326"/>
                <w:tab w:val="right" w:pos="8306"/>
              </w:tabs>
              <w:ind w:left="326" w:hanging="284"/>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يجوز للشركة بموافقة الجمعية العامة العادية ارتهان أسهمها وفقا للضوابط التي تضعها الجهة المختصة.</w:t>
            </w:r>
          </w:p>
          <w:p w14:paraId="45AB4E9C" w14:textId="77777777" w:rsidR="00BF1FB7" w:rsidRPr="00BF1FB7" w:rsidRDefault="00BF1FB7" w:rsidP="00BF1FB7">
            <w:pPr>
              <w:pStyle w:val="ListParagraph"/>
              <w:numPr>
                <w:ilvl w:val="0"/>
                <w:numId w:val="2"/>
              </w:numPr>
              <w:tabs>
                <w:tab w:val="center" w:pos="326"/>
                <w:tab w:val="right" w:pos="8306"/>
              </w:tabs>
              <w:ind w:left="326" w:hanging="284"/>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يجوز بقرار من مجلس الإدارة بيع أسهم الخزينة دفعة واحدة أو على عدة مراحل، وفقاً للضوابط التي تضعها الجهة المختصة.</w:t>
            </w:r>
          </w:p>
          <w:p w14:paraId="04C11A08" w14:textId="1CD6BAC6" w:rsidR="00BF1FB7" w:rsidRPr="00BF1FB7" w:rsidRDefault="00BF1FB7" w:rsidP="00BF1FB7">
            <w:pPr>
              <w:pStyle w:val="ListParagraph"/>
              <w:numPr>
                <w:ilvl w:val="0"/>
                <w:numId w:val="2"/>
              </w:numPr>
              <w:tabs>
                <w:tab w:val="center" w:pos="326"/>
                <w:tab w:val="right" w:pos="8306"/>
              </w:tabs>
              <w:ind w:left="326" w:hanging="284"/>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يجوز رهن الأسهم وفقاً للضوابط التي تضعها الجهة المختصة، ويكون للدائن المرتهن قبض الأرباح واستعمال الحقوق المتصلة بالسهم، ما لم يتفق في عقد الرهن على غير ذلك، ولكن لا يجوز للدائن المرتهن حضور اجتماعات الجمعية العامة للمساهمين أو التصويت فيها.</w:t>
            </w:r>
          </w:p>
        </w:tc>
        <w:tc>
          <w:tcPr>
            <w:tcW w:w="1559" w:type="dxa"/>
            <w:shd w:val="clear" w:color="auto" w:fill="auto"/>
          </w:tcPr>
          <w:p w14:paraId="7F104D70" w14:textId="67CCEF25"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auto"/>
          </w:tcPr>
          <w:p w14:paraId="59C5C8EE" w14:textId="77777777" w:rsidR="006769B7" w:rsidRPr="00516F3A" w:rsidRDefault="006769B7" w:rsidP="00B905A7">
            <w:pPr>
              <w:pStyle w:val="ListParagraph"/>
              <w:numPr>
                <w:ilvl w:val="0"/>
                <w:numId w:val="40"/>
              </w:numPr>
              <w:jc w:val="both"/>
              <w:rPr>
                <w:rFonts w:ascii="DIN Next LT Arabic Light" w:hAnsi="DIN Next LT Arabic Light" w:cs="DIN Next LT Arabic Light"/>
                <w:color w:val="000000" w:themeColor="text1"/>
                <w:sz w:val="22"/>
                <w:szCs w:val="22"/>
                <w:rtl/>
              </w:rPr>
            </w:pPr>
            <w:r w:rsidRPr="00516F3A">
              <w:rPr>
                <w:rFonts w:ascii="DIN Next LT Arabic Light" w:hAnsi="DIN Next LT Arabic Light" w:cs="DIN Next LT Arabic Light"/>
                <w:color w:val="000000" w:themeColor="text1"/>
                <w:sz w:val="22"/>
                <w:szCs w:val="22"/>
                <w:rtl/>
              </w:rPr>
              <w:t>يجوز للشركة بموافقة الجمعية العامة غير العادية أن تشتري أسهمها، وفقاً للضوابط التي تضعها الجهة المختصة، ولا يكون للأسهم التي تشتريها الشركة أصوات في جمعيات المساهمين.</w:t>
            </w:r>
          </w:p>
          <w:p w14:paraId="13BA30F3" w14:textId="77777777" w:rsidR="006769B7" w:rsidRPr="00516F3A" w:rsidRDefault="006769B7" w:rsidP="00B905A7">
            <w:pPr>
              <w:pStyle w:val="ListParagraph"/>
              <w:numPr>
                <w:ilvl w:val="0"/>
                <w:numId w:val="40"/>
              </w:numPr>
              <w:jc w:val="both"/>
              <w:rPr>
                <w:rFonts w:ascii="DIN Next LT Arabic Light" w:hAnsi="DIN Next LT Arabic Light" w:cs="DIN Next LT Arabic Light"/>
                <w:color w:val="000000" w:themeColor="text1"/>
                <w:sz w:val="22"/>
                <w:szCs w:val="22"/>
                <w:rtl/>
              </w:rPr>
            </w:pPr>
            <w:r w:rsidRPr="00516F3A">
              <w:rPr>
                <w:rFonts w:ascii="DIN Next LT Arabic Light" w:hAnsi="DIN Next LT Arabic Light" w:cs="DIN Next LT Arabic Light"/>
                <w:color w:val="000000" w:themeColor="text1"/>
                <w:sz w:val="22"/>
                <w:szCs w:val="22"/>
                <w:rtl/>
              </w:rPr>
              <w:t>يجوز للشركة بموافقة الجمعية العامة العادية ارتهان أسهمها وفقا للضوابط التي تضعها الجهة المختصة.</w:t>
            </w:r>
          </w:p>
          <w:p w14:paraId="68F48FA0" w14:textId="77777777" w:rsidR="006769B7" w:rsidRPr="00516F3A" w:rsidRDefault="006769B7" w:rsidP="00B905A7">
            <w:pPr>
              <w:pStyle w:val="ListParagraph"/>
              <w:numPr>
                <w:ilvl w:val="0"/>
                <w:numId w:val="40"/>
              </w:numPr>
              <w:jc w:val="both"/>
              <w:rPr>
                <w:rFonts w:ascii="DIN Next LT Arabic Light" w:hAnsi="DIN Next LT Arabic Light" w:cs="DIN Next LT Arabic Light"/>
                <w:color w:val="000000" w:themeColor="text1"/>
                <w:sz w:val="22"/>
                <w:szCs w:val="22"/>
                <w:rtl/>
              </w:rPr>
            </w:pPr>
            <w:r w:rsidRPr="00516F3A">
              <w:rPr>
                <w:rFonts w:ascii="DIN Next LT Arabic Light" w:hAnsi="DIN Next LT Arabic Light" w:cs="DIN Next LT Arabic Light"/>
                <w:color w:val="000000" w:themeColor="text1"/>
                <w:sz w:val="22"/>
                <w:szCs w:val="22"/>
                <w:rtl/>
              </w:rPr>
              <w:t>يجوز بقرار من مجلس الإدارة بيع أسهم الخزينة دفعة واحدة أو على عدة مراحل، وفقاً للضوابط التي تضعها الجهة المختصة.</w:t>
            </w:r>
          </w:p>
          <w:p w14:paraId="2F77CC28" w14:textId="57F69CDE" w:rsidR="00BF1FB7" w:rsidRPr="00516F3A" w:rsidRDefault="006769B7" w:rsidP="00B905A7">
            <w:pPr>
              <w:pStyle w:val="ListParagraph"/>
              <w:numPr>
                <w:ilvl w:val="0"/>
                <w:numId w:val="40"/>
              </w:numPr>
              <w:jc w:val="both"/>
              <w:rPr>
                <w:rFonts w:ascii="DIN Next LT Arabic Light" w:hAnsi="DIN Next LT Arabic Light" w:cs="DIN Next LT Arabic Light"/>
                <w:b/>
                <w:bCs/>
                <w:color w:val="000000" w:themeColor="text1"/>
                <w:sz w:val="22"/>
                <w:szCs w:val="22"/>
                <w:rtl/>
              </w:rPr>
            </w:pPr>
            <w:r w:rsidRPr="00516F3A">
              <w:rPr>
                <w:rFonts w:ascii="DIN Next LT Arabic Light" w:hAnsi="DIN Next LT Arabic Light" w:cs="DIN Next LT Arabic Light"/>
                <w:color w:val="000000" w:themeColor="text1"/>
                <w:sz w:val="22"/>
                <w:szCs w:val="22"/>
                <w:rtl/>
              </w:rPr>
              <w:t>يجوز رهن الأسهم وفقاً للضوابط التي تضعها الجهة المختصة، ويكون للدائن المرتهن قبض الأرباح واستعمال الحقوق المتصلة بالسهم، ما لم يتفق في عقد الرهن على غير ذلك، ولكن لا يجوز للدائن المرتهن حضور اجتماعات الجمعية العامة للمساهمين أو التصويت فيها.</w:t>
            </w:r>
          </w:p>
        </w:tc>
      </w:tr>
      <w:tr w:rsidR="00BF1FB7" w:rsidRPr="00BF1FB7" w14:paraId="21ADA54F" w14:textId="77777777" w:rsidTr="0049047C">
        <w:trPr>
          <w:trHeight w:val="983"/>
        </w:trPr>
        <w:tc>
          <w:tcPr>
            <w:tcW w:w="452" w:type="dxa"/>
          </w:tcPr>
          <w:p w14:paraId="62F041F7"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11A83DF7" w14:textId="36B543A1" w:rsidR="00BF1FB7" w:rsidRPr="00BF1FB7" w:rsidRDefault="00BF1FB7" w:rsidP="00BF1FB7">
            <w:pPr>
              <w:ind w:left="720" w:hanging="720"/>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(15): زيادة رأس المال</w:t>
            </w:r>
          </w:p>
          <w:p w14:paraId="7E5DE2C0" w14:textId="7461C91E" w:rsidR="00BF1FB7" w:rsidRPr="00BF1FB7" w:rsidRDefault="00BF1FB7" w:rsidP="00BF1FB7">
            <w:pPr>
              <w:pStyle w:val="ListParagraph"/>
              <w:numPr>
                <w:ilvl w:val="0"/>
                <w:numId w:val="3"/>
              </w:numPr>
              <w:tabs>
                <w:tab w:val="center" w:pos="326"/>
                <w:tab w:val="right" w:pos="8306"/>
              </w:tabs>
              <w:ind w:left="326" w:hanging="252"/>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Pr>
              <w:t xml:space="preserve"> </w:t>
            </w:r>
            <w:r w:rsidRPr="00BF1FB7">
              <w:rPr>
                <w:rFonts w:ascii="DIN Next LT Arabic Light" w:hAnsi="DIN Next LT Arabic Light" w:cs="DIN Next LT Arabic Light"/>
                <w:color w:val="000000" w:themeColor="text1"/>
                <w:sz w:val="22"/>
                <w:szCs w:val="22"/>
                <w:rtl/>
              </w:rPr>
              <w:t xml:space="preserve"> للجمعية العامة غير العادية أن تقرر زيادة رأس مال الشركة، بشرط أن يكون رأس المال قد دفع كاملاً، ولا يشترط أن يكون رأس المال قد دفع بأكمله إذا كان الجزء غير المدفوع من رأس المال يعود إلى أسهم صدرت مقابل تحويل أدوات دين أو صكوك تمويلية إلى أسهم ولم تنته بعد المدة المقررة لتحويلها إلى أسهم</w:t>
            </w:r>
            <w:r w:rsidRPr="00BF1FB7">
              <w:rPr>
                <w:rFonts w:ascii="DIN Next LT Arabic Light" w:hAnsi="DIN Next LT Arabic Light" w:cs="DIN Next LT Arabic Light"/>
                <w:color w:val="000000" w:themeColor="text1"/>
                <w:sz w:val="22"/>
                <w:szCs w:val="22"/>
              </w:rPr>
              <w:t>.</w:t>
            </w:r>
          </w:p>
          <w:p w14:paraId="72D0DE87" w14:textId="77777777" w:rsidR="00BF1FB7" w:rsidRPr="00BF1FB7" w:rsidRDefault="00BF1FB7" w:rsidP="00BF1FB7">
            <w:pPr>
              <w:pStyle w:val="ListParagraph"/>
              <w:numPr>
                <w:ilvl w:val="0"/>
                <w:numId w:val="3"/>
              </w:numPr>
              <w:tabs>
                <w:tab w:val="center" w:pos="326"/>
                <w:tab w:val="right" w:pos="8306"/>
              </w:tabs>
              <w:ind w:left="326" w:hanging="252"/>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للجمعية العامة غير العادية في جميع الأحوال أن تخصص الأسهم المصدرة عند زيادة رأس المال أو جزءاً منها للعاملين في الشركة والشركات التابعة أو بعضها، أو أي من ذلك. ولا يجوز للمساهمين ممارسة حق الأولوية عند إصدار الشركة للأسهم المخصصة للعاملين</w:t>
            </w:r>
            <w:r w:rsidRPr="00BF1FB7">
              <w:rPr>
                <w:rFonts w:ascii="DIN Next LT Arabic Light" w:hAnsi="DIN Next LT Arabic Light" w:cs="DIN Next LT Arabic Light"/>
                <w:color w:val="000000" w:themeColor="text1"/>
                <w:sz w:val="22"/>
                <w:szCs w:val="22"/>
              </w:rPr>
              <w:t>.</w:t>
            </w:r>
          </w:p>
          <w:p w14:paraId="4F804D63" w14:textId="4BD49A2C" w:rsidR="00BF1FB7" w:rsidRPr="00BF1FB7" w:rsidRDefault="00BF1FB7" w:rsidP="00BF1FB7">
            <w:pPr>
              <w:pStyle w:val="ListParagraph"/>
              <w:numPr>
                <w:ilvl w:val="0"/>
                <w:numId w:val="3"/>
              </w:numPr>
              <w:tabs>
                <w:tab w:val="center" w:pos="326"/>
                <w:tab w:val="right" w:pos="8306"/>
              </w:tabs>
              <w:ind w:left="326" w:hanging="252"/>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للمساهم المالك للسهم - وقت صدور قرار الجمعية العامة غير العادية بالموافقة على زيادة رأس المال - الأولوية في الاكتتاب بالأسهم الجديدة التي تصدر مقابل حصص نقدية، ويبلغ هؤلاء بأولويتهم - إن وجدت - بالنشر في صحيفة يومية أو إبلاغهم بوساطة البريد المسجل عن قرار زيادة رأس المال وشروط الاكتتاب ومدته وتاريخ بدايته وانتهائه</w:t>
            </w:r>
            <w:r w:rsidRPr="00BF1FB7">
              <w:rPr>
                <w:rFonts w:ascii="DIN Next LT Arabic Light" w:hAnsi="DIN Next LT Arabic Light" w:cs="DIN Next LT Arabic Light"/>
                <w:color w:val="000000" w:themeColor="text1"/>
                <w:sz w:val="22"/>
                <w:szCs w:val="22"/>
              </w:rPr>
              <w:t>.</w:t>
            </w:r>
          </w:p>
          <w:p w14:paraId="66AD325E" w14:textId="77777777" w:rsidR="00BF1FB7" w:rsidRPr="00BF1FB7" w:rsidRDefault="00BF1FB7" w:rsidP="00BF1FB7">
            <w:pPr>
              <w:pStyle w:val="ListParagraph"/>
              <w:numPr>
                <w:ilvl w:val="0"/>
                <w:numId w:val="3"/>
              </w:numPr>
              <w:tabs>
                <w:tab w:val="center" w:pos="326"/>
                <w:tab w:val="right" w:pos="8306"/>
              </w:tabs>
              <w:ind w:left="326" w:hanging="252"/>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يحق للجمعية العامة غير العادية وقف العمل بحق الأولوية للمساهمين في الاكتتاب بزيادة رأس المال مقابل حصص نقدية أو إعطاء الأولوية لغير المساهمين في الحالات التي تراها مناسبة لمصلحة الشركة</w:t>
            </w:r>
            <w:r w:rsidRPr="00BF1FB7">
              <w:rPr>
                <w:rFonts w:ascii="DIN Next LT Arabic Light" w:hAnsi="DIN Next LT Arabic Light" w:cs="DIN Next LT Arabic Light"/>
                <w:color w:val="000000" w:themeColor="text1"/>
                <w:sz w:val="22"/>
                <w:szCs w:val="22"/>
              </w:rPr>
              <w:t>.</w:t>
            </w:r>
          </w:p>
          <w:p w14:paraId="103E2974" w14:textId="77777777" w:rsidR="00BF1FB7" w:rsidRPr="00BF1FB7" w:rsidRDefault="00BF1FB7" w:rsidP="00BF1FB7">
            <w:pPr>
              <w:pStyle w:val="ListParagraph"/>
              <w:numPr>
                <w:ilvl w:val="0"/>
                <w:numId w:val="3"/>
              </w:numPr>
              <w:tabs>
                <w:tab w:val="center" w:pos="326"/>
                <w:tab w:val="right" w:pos="8306"/>
              </w:tabs>
              <w:ind w:left="326" w:hanging="252"/>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يحق للمساهم بيع حق الأولوية أو التنازل عنه خلال المدة من وقت صدور قرار الجمعية العامة بالموافقة على زيادة رأس المال إلى آخر يوم للاكتتاب في الأسهم الجديدة المرتبطة بهذه الحقوق، وفقاً للضوابط التي تضعها الجهة المختصة</w:t>
            </w:r>
            <w:r w:rsidRPr="00BF1FB7">
              <w:rPr>
                <w:rFonts w:ascii="DIN Next LT Arabic Light" w:hAnsi="DIN Next LT Arabic Light" w:cs="DIN Next LT Arabic Light"/>
                <w:color w:val="000000" w:themeColor="text1"/>
                <w:sz w:val="22"/>
                <w:szCs w:val="22"/>
              </w:rPr>
              <w:t>.</w:t>
            </w:r>
          </w:p>
          <w:p w14:paraId="48BE8023" w14:textId="77777777" w:rsidR="00BF1FB7" w:rsidRPr="00BF1FB7" w:rsidRDefault="00BF1FB7" w:rsidP="00BF1FB7">
            <w:pPr>
              <w:pStyle w:val="ListParagraph"/>
              <w:numPr>
                <w:ilvl w:val="0"/>
                <w:numId w:val="3"/>
              </w:numPr>
              <w:tabs>
                <w:tab w:val="center" w:pos="326"/>
                <w:tab w:val="right" w:pos="8306"/>
              </w:tabs>
              <w:ind w:left="326" w:hanging="252"/>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مع مراعاة ما ورد في الفقرة ( 4 ) أعلاه، توزع الأسهم الجديدة على حَمَلَة حقوق الأولوية الذين طلبوا الاكتتاب، بنسبة ما يملكونه من حقوق أولوية من إجمالي حقوق الأولوية الناتجة من زيادة رأس المال، بشرط ألا يتجاوز ما يحصلون عليه ما طلبوه من الأسهم الجديدة، ويوزع الباقي من الأسهم الجديدة على  حَمَلَة حقوق الأولوية الذين طلبوا أكثر من نصيبهم، بنسبة ما يملكونه من حقوق أولوية من إجمالي حقوق الأولوية الناتجة من زيادة رأس المال، بشرطة ألا يتجاوز ما يحصلون عليه ما طلبوه من الأسهم الجديدة، ويطرح ما تبقى من الأسهم على الغير، ما لم تقرر الجمعية العامة غير العادية على غير ذلك</w:t>
            </w:r>
            <w:r w:rsidRPr="00BF1FB7">
              <w:rPr>
                <w:rFonts w:ascii="DIN Next LT Arabic Light" w:hAnsi="DIN Next LT Arabic Light" w:cs="DIN Next LT Arabic Light"/>
                <w:color w:val="000000" w:themeColor="text1"/>
                <w:sz w:val="22"/>
                <w:szCs w:val="22"/>
              </w:rPr>
              <w:t>.</w:t>
            </w:r>
          </w:p>
          <w:p w14:paraId="2FCCBEC8" w14:textId="2FDDE301" w:rsidR="00BF1FB7" w:rsidRPr="00BF1FB7" w:rsidRDefault="00BF1FB7" w:rsidP="00BF1FB7">
            <w:pPr>
              <w:pStyle w:val="ListParagraph"/>
              <w:numPr>
                <w:ilvl w:val="0"/>
                <w:numId w:val="3"/>
              </w:numPr>
              <w:tabs>
                <w:tab w:val="center" w:pos="326"/>
                <w:tab w:val="right" w:pos="8306"/>
              </w:tabs>
              <w:ind w:left="326" w:hanging="252"/>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تسري على الأسهم التي تصدر مقابل حصص عينية عند زيادة رأس المال أحكام تقويم الحصص العينية المقدمة عند تأسيس الشركة، وتقوم الجمعية العامة العادية مقام الجمعية التأسيسية في هذا الشأن.</w:t>
            </w:r>
            <w:r w:rsidRPr="00BF1FB7">
              <w:rPr>
                <w:rFonts w:ascii="DIN Next LT Arabic Light" w:hAnsi="DIN Next LT Arabic Light" w:cs="DIN Next LT Arabic Light"/>
                <w:color w:val="000000" w:themeColor="text1"/>
                <w:sz w:val="22"/>
                <w:szCs w:val="22"/>
                <w:rtl/>
              </w:rPr>
              <w:tab/>
              <w:t xml:space="preserve"> </w:t>
            </w:r>
          </w:p>
          <w:p w14:paraId="5CBFD2E0" w14:textId="77777777"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p>
        </w:tc>
        <w:tc>
          <w:tcPr>
            <w:tcW w:w="1559" w:type="dxa"/>
            <w:shd w:val="clear" w:color="auto" w:fill="auto"/>
          </w:tcPr>
          <w:p w14:paraId="33F731AF" w14:textId="54E5E619"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auto"/>
          </w:tcPr>
          <w:p w14:paraId="40EB826B" w14:textId="77777777" w:rsidR="006769B7" w:rsidRPr="00CA37EF" w:rsidRDefault="006769B7" w:rsidP="00CA37EF">
            <w:pPr>
              <w:pStyle w:val="ListParagraph"/>
              <w:numPr>
                <w:ilvl w:val="0"/>
                <w:numId w:val="41"/>
              </w:numPr>
              <w:jc w:val="both"/>
              <w:rPr>
                <w:rFonts w:ascii="DIN Next LT Arabic Light" w:hAnsi="DIN Next LT Arabic Light" w:cs="DIN Next LT Arabic Light"/>
                <w:color w:val="000000" w:themeColor="text1"/>
                <w:sz w:val="22"/>
                <w:szCs w:val="22"/>
                <w:rtl/>
              </w:rPr>
            </w:pPr>
            <w:r w:rsidRPr="00CA37EF">
              <w:rPr>
                <w:rFonts w:ascii="DIN Next LT Arabic Light" w:hAnsi="DIN Next LT Arabic Light" w:cs="DIN Next LT Arabic Light"/>
                <w:color w:val="000000" w:themeColor="text1"/>
                <w:sz w:val="22"/>
                <w:szCs w:val="22"/>
                <w:rtl/>
              </w:rPr>
              <w:t>للجمعية العامة غير العادية أن تقرر زيادة رأس مال الشركة، بشرط أن يكون رأس المال قد دفع كاملاً، ولا يشترط أن يكون رأس المال قد دفع بأكمله إذا كان الجزء غير المدفوع من رأس المال يعود إلى أسهم صدرت مقابل تحويل أدوات دين أو صكوك تمويلية إلى أسهم ولم تنته بعد المدة المقررة لتحويلها إلى أسهم.</w:t>
            </w:r>
          </w:p>
          <w:p w14:paraId="25F71A8A" w14:textId="77777777" w:rsidR="006769B7" w:rsidRPr="00CA37EF" w:rsidRDefault="006769B7" w:rsidP="00CA37EF">
            <w:pPr>
              <w:pStyle w:val="ListParagraph"/>
              <w:numPr>
                <w:ilvl w:val="0"/>
                <w:numId w:val="41"/>
              </w:numPr>
              <w:jc w:val="both"/>
              <w:rPr>
                <w:rFonts w:ascii="DIN Next LT Arabic Light" w:hAnsi="DIN Next LT Arabic Light" w:cs="DIN Next LT Arabic Light"/>
                <w:color w:val="000000" w:themeColor="text1"/>
                <w:sz w:val="22"/>
                <w:szCs w:val="22"/>
                <w:rtl/>
              </w:rPr>
            </w:pPr>
            <w:r w:rsidRPr="00CA37EF">
              <w:rPr>
                <w:rFonts w:ascii="DIN Next LT Arabic Light" w:hAnsi="DIN Next LT Arabic Light" w:cs="DIN Next LT Arabic Light"/>
                <w:color w:val="000000" w:themeColor="text1"/>
                <w:sz w:val="22"/>
                <w:szCs w:val="22"/>
                <w:rtl/>
              </w:rPr>
              <w:t>للجمعية العامة غير العادية في جميع الأحوال أن تخصص الأسهم المصدرة عند زيادة رأس المال أو جزءاً منها للعاملين في الشركة والشركات التابعة أو بعضها، أو أي من ذلك. ولا يجوز للمساهمين ممارسة حق الأولوية عند إصدار الشركة للأسهم المخصصة للعاملين.</w:t>
            </w:r>
          </w:p>
          <w:p w14:paraId="13C1E78B" w14:textId="77777777" w:rsidR="006769B7" w:rsidRPr="00CA37EF" w:rsidRDefault="006769B7" w:rsidP="00CA37EF">
            <w:pPr>
              <w:pStyle w:val="ListParagraph"/>
              <w:numPr>
                <w:ilvl w:val="0"/>
                <w:numId w:val="41"/>
              </w:numPr>
              <w:jc w:val="both"/>
              <w:rPr>
                <w:rFonts w:ascii="DIN Next LT Arabic Light" w:hAnsi="DIN Next LT Arabic Light" w:cs="DIN Next LT Arabic Light"/>
                <w:color w:val="000000" w:themeColor="text1"/>
                <w:sz w:val="22"/>
                <w:szCs w:val="22"/>
                <w:rtl/>
              </w:rPr>
            </w:pPr>
            <w:r w:rsidRPr="00CA37EF">
              <w:rPr>
                <w:rFonts w:ascii="DIN Next LT Arabic Light" w:hAnsi="DIN Next LT Arabic Light" w:cs="DIN Next LT Arabic Light"/>
                <w:color w:val="000000" w:themeColor="text1"/>
                <w:sz w:val="22"/>
                <w:szCs w:val="22"/>
                <w:rtl/>
              </w:rPr>
              <w:t xml:space="preserve">للمساهم المالك للسهم - وقت صدور قرار الجمعية العامة غير العادية بالموافقة على زيادة رأس المال - الأولوية في الاكتتاب بالأسهم الجديدة التي تصدر مقابل حصص نقدية، ويبلغ هؤلاء بأولويتهم - إن وجدت - بالنشر في صحيفة يومية أو إبلاغهم بوساطة </w:t>
            </w:r>
            <w:r w:rsidRPr="00CA37EF">
              <w:rPr>
                <w:rFonts w:ascii="DIN Next LT Arabic Light" w:hAnsi="DIN Next LT Arabic Light" w:cs="DIN Next LT Arabic Light"/>
                <w:color w:val="000000" w:themeColor="text1"/>
                <w:sz w:val="22"/>
                <w:szCs w:val="22"/>
                <w:rtl/>
              </w:rPr>
              <w:lastRenderedPageBreak/>
              <w:t>البريد المسجل عن قرار زيادة رأس المال وشروط الاكتتاب ومدته وتاريخ بدايته وانتهائه.</w:t>
            </w:r>
          </w:p>
          <w:p w14:paraId="10DC76F2" w14:textId="77777777" w:rsidR="006769B7" w:rsidRPr="00CA37EF" w:rsidRDefault="006769B7" w:rsidP="00CA37EF">
            <w:pPr>
              <w:pStyle w:val="ListParagraph"/>
              <w:numPr>
                <w:ilvl w:val="0"/>
                <w:numId w:val="41"/>
              </w:numPr>
              <w:jc w:val="both"/>
              <w:rPr>
                <w:rFonts w:ascii="DIN Next LT Arabic Light" w:hAnsi="DIN Next LT Arabic Light" w:cs="DIN Next LT Arabic Light"/>
                <w:color w:val="000000" w:themeColor="text1"/>
                <w:sz w:val="22"/>
                <w:szCs w:val="22"/>
                <w:rtl/>
              </w:rPr>
            </w:pPr>
            <w:r w:rsidRPr="00CA37EF">
              <w:rPr>
                <w:rFonts w:ascii="DIN Next LT Arabic Light" w:hAnsi="DIN Next LT Arabic Light" w:cs="DIN Next LT Arabic Light"/>
                <w:color w:val="000000" w:themeColor="text1"/>
                <w:sz w:val="22"/>
                <w:szCs w:val="22"/>
                <w:rtl/>
              </w:rPr>
              <w:t>يحق للجمعية العامة غير العادية وقف العمل بحق الأولوية للمساهمين في الاكتتاب بزيادة رأس المال مقابل حصص نقدية أو إعطاء الأولوية لغير المساهمين في الحالات التي تراها مناسبة لمصلحة الشركة.</w:t>
            </w:r>
          </w:p>
          <w:p w14:paraId="74CBE546" w14:textId="77777777" w:rsidR="006769B7" w:rsidRPr="00CA37EF" w:rsidRDefault="006769B7" w:rsidP="00CA37EF">
            <w:pPr>
              <w:pStyle w:val="ListParagraph"/>
              <w:numPr>
                <w:ilvl w:val="0"/>
                <w:numId w:val="41"/>
              </w:numPr>
              <w:jc w:val="both"/>
              <w:rPr>
                <w:rFonts w:ascii="DIN Next LT Arabic Light" w:hAnsi="DIN Next LT Arabic Light" w:cs="DIN Next LT Arabic Light"/>
                <w:color w:val="000000" w:themeColor="text1"/>
                <w:sz w:val="22"/>
                <w:szCs w:val="22"/>
                <w:rtl/>
              </w:rPr>
            </w:pPr>
            <w:r w:rsidRPr="00CA37EF">
              <w:rPr>
                <w:rFonts w:ascii="DIN Next LT Arabic Light" w:hAnsi="DIN Next LT Arabic Light" w:cs="DIN Next LT Arabic Light"/>
                <w:color w:val="000000" w:themeColor="text1"/>
                <w:sz w:val="22"/>
                <w:szCs w:val="22"/>
                <w:rtl/>
              </w:rPr>
              <w:t>يحق للمساهم بيع حق الأولوية أو التنازل عنه خلال المدة من وقت صدور قرار الجمعية العامة بالموافقة على زيادة رأس المال إلى آخر يوم للاكتتاب في الأسهم الجديدة المرتبطة بهذه الحقوق، وفقاً للضوابط التي تضعها الجهة المختصة.</w:t>
            </w:r>
          </w:p>
          <w:p w14:paraId="4D279395" w14:textId="77777777" w:rsidR="006769B7" w:rsidRPr="00CA37EF" w:rsidRDefault="006769B7" w:rsidP="00CA37EF">
            <w:pPr>
              <w:pStyle w:val="ListParagraph"/>
              <w:numPr>
                <w:ilvl w:val="0"/>
                <w:numId w:val="41"/>
              </w:numPr>
              <w:jc w:val="both"/>
              <w:rPr>
                <w:rFonts w:ascii="DIN Next LT Arabic Light" w:hAnsi="DIN Next LT Arabic Light" w:cs="DIN Next LT Arabic Light"/>
                <w:color w:val="000000" w:themeColor="text1"/>
                <w:sz w:val="22"/>
                <w:szCs w:val="22"/>
                <w:rtl/>
              </w:rPr>
            </w:pPr>
            <w:r w:rsidRPr="00CA37EF">
              <w:rPr>
                <w:rFonts w:ascii="DIN Next LT Arabic Light" w:hAnsi="DIN Next LT Arabic Light" w:cs="DIN Next LT Arabic Light"/>
                <w:color w:val="000000" w:themeColor="text1"/>
                <w:sz w:val="22"/>
                <w:szCs w:val="22"/>
                <w:rtl/>
              </w:rPr>
              <w:t xml:space="preserve">مع مراعاة ما ورد في الفقرة ( 4 ) أعلاه، توزع الأسهم الجديدة على حَمَلَة حقوق الأولوية الذين طلبوا الاكتتاب، بنسبة ما يملكونه من حقوق أولوية من إجمالي حقوق الأولوية الناتجة من زيادة رأس المال، بشرط ألا يتجاوز ما يحصلون عليه ما طلبوه من الأسهم الجديدة، ويوزع الباقي من </w:t>
            </w:r>
            <w:r w:rsidRPr="00CA37EF">
              <w:rPr>
                <w:rFonts w:ascii="DIN Next LT Arabic Light" w:hAnsi="DIN Next LT Arabic Light" w:cs="DIN Next LT Arabic Light"/>
                <w:color w:val="000000" w:themeColor="text1"/>
                <w:sz w:val="22"/>
                <w:szCs w:val="22"/>
                <w:rtl/>
              </w:rPr>
              <w:lastRenderedPageBreak/>
              <w:t>الأسهم الجديدة على  حَمَلَة حقوق الأولوية الذين طلبوا أكثر من نصيبهم، بنسبة ما يملكونه من حقوق أولوية من إجمالي حقوق الأولوية الناتجة من زيادة رأس المال، بشرطة ألا يتجاوز ما يحصلون عليه ما طلبوه من الأسهم الجديدة، ويطرح ما تبقى من الأسهم على الغير، ما لم تقرر الجمعية العامة غير العادية على غير ذلك.</w:t>
            </w:r>
          </w:p>
          <w:p w14:paraId="2D39E908" w14:textId="4DBB2275" w:rsidR="00BF1FB7" w:rsidRPr="00CA37EF" w:rsidRDefault="006769B7" w:rsidP="00CA37EF">
            <w:pPr>
              <w:pStyle w:val="ListParagraph"/>
              <w:numPr>
                <w:ilvl w:val="0"/>
                <w:numId w:val="41"/>
              </w:numPr>
              <w:jc w:val="both"/>
              <w:rPr>
                <w:rFonts w:ascii="DIN Next LT Arabic Light" w:hAnsi="DIN Next LT Arabic Light" w:cs="DIN Next LT Arabic Light"/>
                <w:b/>
                <w:bCs/>
                <w:color w:val="000000" w:themeColor="text1"/>
                <w:sz w:val="22"/>
                <w:szCs w:val="22"/>
                <w:rtl/>
              </w:rPr>
            </w:pPr>
            <w:r w:rsidRPr="00CA37EF">
              <w:rPr>
                <w:rFonts w:ascii="DIN Next LT Arabic Light" w:hAnsi="DIN Next LT Arabic Light" w:cs="DIN Next LT Arabic Light"/>
                <w:color w:val="000000" w:themeColor="text1"/>
                <w:sz w:val="22"/>
                <w:szCs w:val="22"/>
                <w:rtl/>
              </w:rPr>
              <w:t>تسري على الأسهم التي تصدر مقابل حصص عينية عند زيادة رأس المال أحكام تقويم الحصص العينية المقدمة عند تأسيس الشركة، وتقوم الجمعية العامة العادية مقام الجمعية التأسيسية في هذا الشأن.</w:t>
            </w:r>
          </w:p>
        </w:tc>
      </w:tr>
      <w:tr w:rsidR="00BF1FB7" w:rsidRPr="00BF1FB7" w14:paraId="4B76F20D" w14:textId="77777777" w:rsidTr="0049047C">
        <w:trPr>
          <w:trHeight w:val="983"/>
        </w:trPr>
        <w:tc>
          <w:tcPr>
            <w:tcW w:w="452" w:type="dxa"/>
          </w:tcPr>
          <w:p w14:paraId="73D8A03D"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1DAB9387" w14:textId="361F8FB3" w:rsidR="00BF1FB7" w:rsidRPr="00BF1FB7" w:rsidRDefault="00BF1FB7" w:rsidP="00BF1FB7">
            <w:pPr>
              <w:ind w:left="720" w:hanging="720"/>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 xml:space="preserve"> مادة (16): تخفيض رأس المال</w:t>
            </w:r>
          </w:p>
          <w:p w14:paraId="5A4774FD" w14:textId="4507D402" w:rsidR="00BF1FB7" w:rsidRPr="00BF1FB7" w:rsidRDefault="00BF1FB7" w:rsidP="00BF1FB7">
            <w:pPr>
              <w:autoSpaceDE w:val="0"/>
              <w:autoSpaceDN w:val="0"/>
              <w:adjustRightInd w:val="0"/>
              <w:jc w:val="both"/>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للجمعية العامة غير العادية أن تقرر تخفيض رأس المال إذا زاد عن حاجة الشركة أو إذا منيت بخسائر، ويجوز في الحالة الأخيرة وحدها تخفيض رأس المال إلى ما دون الحد المنصوص عليه في المادة (الرابعة والخمسين) من نظام الشركات. ولا يصدر قرار التخفيض إلا بعد تلاوة تقرير خاص يعده مراجع الحسابات عن الأسباب الموجبة له وعن الالتزامات التي على الشركة وعن أثر التخفيض في هذه الالتزامات</w:t>
            </w:r>
            <w:r w:rsidRPr="00BF1FB7">
              <w:rPr>
                <w:rFonts w:ascii="DIN Next LT Arabic Light" w:hAnsi="DIN Next LT Arabic Light" w:cs="DIN Next LT Arabic Light"/>
                <w:color w:val="000000" w:themeColor="text1"/>
                <w:sz w:val="22"/>
                <w:szCs w:val="22"/>
              </w:rPr>
              <w:t>.</w:t>
            </w:r>
          </w:p>
          <w:p w14:paraId="025FEAAD" w14:textId="648E1DAA" w:rsidR="00BF1FB7" w:rsidRPr="00BF1FB7" w:rsidRDefault="00BF1FB7" w:rsidP="00BF1FB7">
            <w:pPr>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وإذا كان تخفيض رأس المال نتيجة زيادته عن حاجة الشركة، وجبت دعوة الدائنين إلى إبداء اعتراضاتهم عليه خلال ستين يوماً من تاريخ نشر قرار التخفيض في جريدة يومية توزع في المنطقة التي يقع فيها مركز الرئيس، فإن اعترض أحد الدائنين وقدم إلى الشركة مستنداته في الميعاد المذكور، وجب على الشركة أن تؤدي إليه دينه إذا كان حالاً أو أن تقدم ضماناً كافياً للوفاء به إذا كان آجلا.</w:t>
            </w:r>
          </w:p>
        </w:tc>
        <w:tc>
          <w:tcPr>
            <w:tcW w:w="1559" w:type="dxa"/>
            <w:shd w:val="clear" w:color="auto" w:fill="auto"/>
          </w:tcPr>
          <w:p w14:paraId="04D20A4A" w14:textId="2E0B1845"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FF0000"/>
                <w:sz w:val="22"/>
                <w:szCs w:val="22"/>
                <w:rtl/>
              </w:rPr>
              <w:t>تغير</w:t>
            </w:r>
          </w:p>
        </w:tc>
        <w:tc>
          <w:tcPr>
            <w:tcW w:w="3541" w:type="dxa"/>
            <w:shd w:val="clear" w:color="auto" w:fill="auto"/>
          </w:tcPr>
          <w:p w14:paraId="201F1D53" w14:textId="621EB152" w:rsidR="00BF1FB7" w:rsidRDefault="0025639C" w:rsidP="0049047C">
            <w:pPr>
              <w:ind w:left="27"/>
              <w:jc w:val="both"/>
              <w:rPr>
                <w:rFonts w:ascii="DIN Next LT Arabic Light" w:hAnsi="DIN Next LT Arabic Light" w:cs="DIN Next LT Arabic Light"/>
                <w:color w:val="000000" w:themeColor="text1"/>
                <w:sz w:val="22"/>
                <w:szCs w:val="22"/>
                <w:rtl/>
              </w:rPr>
            </w:pPr>
            <w:r w:rsidRPr="0025639C">
              <w:rPr>
                <w:rFonts w:ascii="DIN Next LT Arabic Light" w:hAnsi="DIN Next LT Arabic Light" w:cs="DIN Next LT Arabic Light"/>
                <w:color w:val="000000" w:themeColor="text1"/>
                <w:sz w:val="22"/>
                <w:szCs w:val="22"/>
                <w:rtl/>
              </w:rPr>
              <w:t>للجمعية العامة غير العادية أن تقرر تخفيض رأس المال إذا زاد على حاجة الشركة أو إذا مُنيت الشركة بخسائر. ويجوز في الحالة الأخيرة وحدها تخفيض رأس المال إلى ما دون الحد الوارد في المادة (التاسعة والخمسين) من نظام</w:t>
            </w:r>
            <w:r w:rsidR="00CA37EF">
              <w:rPr>
                <w:rFonts w:ascii="DIN Next LT Arabic Light" w:hAnsi="DIN Next LT Arabic Light" w:cs="DIN Next LT Arabic Light" w:hint="cs"/>
                <w:color w:val="000000" w:themeColor="text1"/>
                <w:sz w:val="22"/>
                <w:szCs w:val="22"/>
                <w:rtl/>
              </w:rPr>
              <w:t xml:space="preserve"> الشركات</w:t>
            </w:r>
            <w:r w:rsidRPr="0025639C">
              <w:rPr>
                <w:rFonts w:ascii="DIN Next LT Arabic Light" w:hAnsi="DIN Next LT Arabic Light" w:cs="DIN Next LT Arabic Light"/>
                <w:color w:val="000000" w:themeColor="text1"/>
                <w:sz w:val="22"/>
                <w:szCs w:val="22"/>
                <w:rtl/>
              </w:rPr>
              <w:t xml:space="preserve">. ولا يصدر قرار التخفيض إلا </w:t>
            </w:r>
            <w:r>
              <w:rPr>
                <w:rFonts w:ascii="DIN Next LT Arabic Light" w:hAnsi="DIN Next LT Arabic Light" w:cs="DIN Next LT Arabic Light" w:hint="cs"/>
                <w:color w:val="000000" w:themeColor="text1"/>
                <w:sz w:val="22"/>
                <w:szCs w:val="22"/>
                <w:rtl/>
              </w:rPr>
              <w:t xml:space="preserve">تلاوة تقرير خاص </w:t>
            </w:r>
            <w:r w:rsidRPr="0025639C">
              <w:rPr>
                <w:rFonts w:ascii="DIN Next LT Arabic Light" w:hAnsi="DIN Next LT Arabic Light" w:cs="DIN Next LT Arabic Light"/>
                <w:color w:val="000000" w:themeColor="text1"/>
                <w:sz w:val="22"/>
                <w:szCs w:val="22"/>
                <w:rtl/>
              </w:rPr>
              <w:t xml:space="preserve">في الجمعية العامة يعده مجلس الإدارة عن الأسباب الموجبة للتخفيض والتزامات </w:t>
            </w:r>
            <w:r w:rsidRPr="0025639C">
              <w:rPr>
                <w:rFonts w:ascii="DIN Next LT Arabic Light" w:hAnsi="DIN Next LT Arabic Light" w:cs="DIN Next LT Arabic Light"/>
                <w:color w:val="000000" w:themeColor="text1"/>
                <w:sz w:val="22"/>
                <w:szCs w:val="22"/>
                <w:rtl/>
              </w:rPr>
              <w:lastRenderedPageBreak/>
              <w:t>الشركة وأثر التخفيض في الوفاء بها، ويرفق بهذا البيان تقرير من مراجع حسابات الشركة. ويجوز الاكتفاء بعرض البيان المذكور على المساهمين في الحالات التي يصدر فيها قرار الجمعية العامة بالتمرير</w:t>
            </w:r>
          </w:p>
          <w:p w14:paraId="08E16F49" w14:textId="5CC0B055" w:rsidR="0025639C" w:rsidRPr="0049047C" w:rsidRDefault="006E626F" w:rsidP="0049047C">
            <w:pPr>
              <w:ind w:left="27"/>
              <w:jc w:val="both"/>
              <w:rPr>
                <w:rFonts w:ascii="DIN Next LT Arabic Light" w:hAnsi="DIN Next LT Arabic Light" w:cs="DIN Next LT Arabic Light"/>
                <w:color w:val="000000" w:themeColor="text1"/>
                <w:sz w:val="22"/>
                <w:szCs w:val="22"/>
                <w:rtl/>
              </w:rPr>
            </w:pPr>
            <w:r w:rsidRPr="0049047C">
              <w:rPr>
                <w:rFonts w:ascii="Arial" w:hAnsi="Arial" w:cs="Arial"/>
                <w:sz w:val="21"/>
                <w:szCs w:val="21"/>
                <w:shd w:val="clear" w:color="auto" w:fill="FFFFFF"/>
                <w:rtl/>
              </w:rPr>
              <w:t xml:space="preserve">إذا كان تخفيض رأس المال نتيجة زيادته على حاجة الشركة، وجبت دعوة الدائنين إلى إبداء اعتراضاتهم قبل (خمسة وأربعين) يومًا على الأقل من التاريخ المحدد لعقد اجتماع الجمعية العامة غير العادية لاتخاذ قرار التخفيض، على أن يرفق بالدعوة بيان يوضح مقدار رأس المال قبل التخفيض وبعده، وموعد عقد الاجتماع وتاريخ نفاذ التخفيض، </w:t>
            </w:r>
            <w:r w:rsidRPr="0049047C">
              <w:rPr>
                <w:rFonts w:ascii="Arial" w:hAnsi="Arial" w:cs="Arial" w:hint="eastAsia"/>
                <w:sz w:val="21"/>
                <w:szCs w:val="21"/>
                <w:shd w:val="clear" w:color="auto" w:fill="FFFFFF"/>
                <w:rtl/>
              </w:rPr>
              <w:t>و</w:t>
            </w:r>
            <w:r w:rsidRPr="0049047C">
              <w:rPr>
                <w:rFonts w:ascii="Arial" w:hAnsi="Arial" w:cs="Arial"/>
                <w:sz w:val="21"/>
                <w:szCs w:val="21"/>
                <w:shd w:val="clear" w:color="auto" w:fill="FFFFFF"/>
                <w:rtl/>
              </w:rPr>
              <w:t xml:space="preserve">وجب على الشركة أن تؤدي إليه أو أن تقدم إليه ضمانًا كافيًا للوفاء به إذا كان آجلًا. وللدائن أن يتقدم إلى الجهة القضائية المختصة  </w:t>
            </w:r>
            <w:r w:rsidRPr="0049047C">
              <w:rPr>
                <w:rFonts w:ascii="Arial" w:hAnsi="Arial" w:cs="Arial" w:hint="eastAsia"/>
                <w:sz w:val="21"/>
                <w:szCs w:val="21"/>
                <w:shd w:val="clear" w:color="auto" w:fill="FFFFFF"/>
                <w:rtl/>
              </w:rPr>
              <w:t>اذا</w:t>
            </w:r>
            <w:r w:rsidRPr="0049047C">
              <w:rPr>
                <w:rFonts w:ascii="Arial" w:hAnsi="Arial" w:cs="Arial"/>
                <w:sz w:val="21"/>
                <w:szCs w:val="21"/>
                <w:shd w:val="clear" w:color="auto" w:fill="FFFFFF"/>
                <w:rtl/>
              </w:rPr>
              <w:t xml:space="preserve"> لم يتم الوفاء بدينه إذا كان حالًّا، أو تقديم ضمان كافٍ قبل التاريخ المحدد لعقد الجمعية العامة غير العادية لاتخاذ قرار التخفيض</w:t>
            </w:r>
            <w:r w:rsidR="007F56C6">
              <w:rPr>
                <w:rFonts w:ascii="Arial" w:hAnsi="Arial" w:cs="Arial" w:hint="cs"/>
                <w:sz w:val="21"/>
                <w:szCs w:val="21"/>
                <w:shd w:val="clear" w:color="auto" w:fill="FFFFFF"/>
                <w:rtl/>
              </w:rPr>
              <w:t>.</w:t>
            </w:r>
          </w:p>
        </w:tc>
      </w:tr>
      <w:tr w:rsidR="00BF1FB7" w:rsidRPr="00BF1FB7" w14:paraId="42917E3D" w14:textId="77777777" w:rsidTr="0049047C">
        <w:trPr>
          <w:trHeight w:val="983"/>
        </w:trPr>
        <w:tc>
          <w:tcPr>
            <w:tcW w:w="452" w:type="dxa"/>
          </w:tcPr>
          <w:p w14:paraId="7CF309B4"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2957CE5F" w14:textId="588838AC" w:rsidR="00BF1FB7" w:rsidRPr="00BF1FB7" w:rsidRDefault="00BF1FB7" w:rsidP="00BF1FB7">
            <w:pPr>
              <w:ind w:left="720" w:hanging="720"/>
              <w:jc w:val="center"/>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الباب الرابع - جمعيات المساهمين</w:t>
            </w:r>
          </w:p>
          <w:p w14:paraId="62A4B2FD" w14:textId="060CAC82"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 xml:space="preserve">مادة (26) حضور الجمعيات </w:t>
            </w:r>
          </w:p>
          <w:p w14:paraId="12A9396C" w14:textId="029C2BB7" w:rsidR="00BF1FB7" w:rsidRPr="00BF1FB7" w:rsidRDefault="00BF1FB7" w:rsidP="00BF1FB7">
            <w:pPr>
              <w:ind w:left="37"/>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لكل مكتتب أيًّا كان عدد أسهمه حق حضور الجمعية، ولكل مساهم حق حضور الجمعيات العامة للمساهمين، وله في ذلك أن يوكل عنه شخصاً آخر من غير أعضاء مجلس الإدارة أو عاملي الشركة في حضور الجمعية العامة والتصويت على بنود جدول أعمالها نيابة عنه.</w:t>
            </w:r>
          </w:p>
          <w:p w14:paraId="649D47B6" w14:textId="77777777" w:rsidR="00BF1FB7" w:rsidRPr="00BF1FB7" w:rsidRDefault="00BF1FB7" w:rsidP="00BF1FB7">
            <w:pPr>
              <w:ind w:left="37"/>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ويجوز عقد اجتماعات الجمعية العامة للمساهمين واشتراك المساهمين في مداولاتها، وإطلاع المساهمين على جداول أعمالها والمستندات ذات العلاقة، بواسطة وسائل التقنية الحديثة، على أن لا يحول ذلك دون عقد تلك الاجتماعات في المكان المحدد في الدعوة ومنح المساهمين حق حضور تلك الاجتماعات شخصيا، ومع مراعاة الضوابط التي تضعها الجهة المختصة.</w:t>
            </w:r>
          </w:p>
          <w:p w14:paraId="5F6A2609" w14:textId="5718263E" w:rsidR="00BF1FB7" w:rsidRPr="00BF1FB7" w:rsidRDefault="00BF1FB7" w:rsidP="00BF1FB7">
            <w:pPr>
              <w:ind w:left="37"/>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كما يجوز للشركة إتاحة التصويت الآلي للمساهمين على بنود جداول أعمال اجتماعات الجمعية العامة - وإن لم يحضروا هذه الاجتماعات - مع مراعاة الضوابط التي تضعها الجهة المختصة.</w:t>
            </w:r>
          </w:p>
        </w:tc>
        <w:tc>
          <w:tcPr>
            <w:tcW w:w="1559" w:type="dxa"/>
            <w:shd w:val="clear" w:color="auto" w:fill="auto"/>
          </w:tcPr>
          <w:p w14:paraId="064207B5" w14:textId="1EA652D1"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FF0000"/>
                <w:sz w:val="22"/>
                <w:szCs w:val="22"/>
                <w:rtl/>
              </w:rPr>
              <w:t>تغير</w:t>
            </w:r>
          </w:p>
        </w:tc>
        <w:tc>
          <w:tcPr>
            <w:tcW w:w="3541" w:type="dxa"/>
            <w:shd w:val="clear" w:color="auto" w:fill="auto"/>
          </w:tcPr>
          <w:p w14:paraId="2E8CEA48" w14:textId="1A9AA2B4" w:rsidR="00BF1FB7" w:rsidRDefault="00B370AC" w:rsidP="007F56C6">
            <w:pPr>
              <w:ind w:left="27"/>
              <w:jc w:val="both"/>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لكل مكتتب أيًّا كان عدد أسهمه حق حضور الجمعية، ولكل مساهم حق حضور الجمعيات العامة للمساهمين، وله في ذلك أن يوكل عنه شخصاً آخر من غير أعضاء مجلس الإدارة في حضور الجمعية العامة والتصويت على بنود جدول أعمالها نيابة عنه</w:t>
            </w:r>
            <w:r w:rsidR="00D825A9">
              <w:rPr>
                <w:rFonts w:ascii="DIN Next LT Arabic Light" w:hAnsi="DIN Next LT Arabic Light" w:cs="DIN Next LT Arabic Light" w:hint="cs"/>
                <w:color w:val="000000" w:themeColor="text1"/>
                <w:sz w:val="22"/>
                <w:szCs w:val="22"/>
                <w:rtl/>
              </w:rPr>
              <w:t xml:space="preserve">. </w:t>
            </w:r>
          </w:p>
          <w:p w14:paraId="2AABEBC6" w14:textId="77777777" w:rsidR="00D825A9" w:rsidRDefault="00D825A9" w:rsidP="00D825A9">
            <w:pPr>
              <w:ind w:left="37"/>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 xml:space="preserve">ويجوز عقد اجتماعات الجمعية العامة للمساهمين واشتراك المساهمين في مداولاتها، وإطلاع المساهمين على جداول أعمالها والمستندات ذات العلاقة، بواسطة وسائل التقنية الحديثة، على أن لا </w:t>
            </w:r>
            <w:r w:rsidRPr="00BF1FB7">
              <w:rPr>
                <w:rFonts w:ascii="DIN Next LT Arabic Light" w:hAnsi="DIN Next LT Arabic Light" w:cs="DIN Next LT Arabic Light"/>
                <w:color w:val="000000" w:themeColor="text1"/>
                <w:sz w:val="22"/>
                <w:szCs w:val="22"/>
                <w:rtl/>
              </w:rPr>
              <w:lastRenderedPageBreak/>
              <w:t>يحول ذلك دون عقد تلك الاجتماعات في المكان المحدد في الدعوة ومنح المساهمين حق حضور تلك الاجتماعات شخصيا، ومع مراعاة الضوابط التي تضعها الجهة المختصة.</w:t>
            </w:r>
          </w:p>
          <w:p w14:paraId="6118AF91" w14:textId="6FACDBBD" w:rsidR="00D825A9" w:rsidRPr="00BF1FB7" w:rsidRDefault="00D825A9" w:rsidP="00D825A9">
            <w:pPr>
              <w:ind w:left="37"/>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كما يجوز للشركة إتاحة التصويت الآلي للمساهمين على بنود جداول أعمال اجتماعات الجمعية العامة - وإن لم يحضروا هذه الاجتماعات - مع مراعاة الضوابط التي تضعها الجهة المختصة.</w:t>
            </w:r>
          </w:p>
          <w:p w14:paraId="2E2E5577" w14:textId="1858E683" w:rsidR="00D825A9" w:rsidRPr="00BF1FB7" w:rsidRDefault="00D825A9" w:rsidP="00D825A9">
            <w:pPr>
              <w:ind w:left="27"/>
              <w:jc w:val="both"/>
              <w:rPr>
                <w:rFonts w:ascii="DIN Next LT Arabic Light" w:hAnsi="DIN Next LT Arabic Light" w:cs="DIN Next LT Arabic Light"/>
                <w:b/>
                <w:bCs/>
                <w:color w:val="000000" w:themeColor="text1"/>
                <w:sz w:val="22"/>
                <w:szCs w:val="22"/>
                <w:rtl/>
              </w:rPr>
            </w:pPr>
          </w:p>
        </w:tc>
      </w:tr>
      <w:tr w:rsidR="00BF1FB7" w:rsidRPr="00BF1FB7" w14:paraId="4C77EF60" w14:textId="77777777" w:rsidTr="0049047C">
        <w:trPr>
          <w:trHeight w:val="983"/>
        </w:trPr>
        <w:tc>
          <w:tcPr>
            <w:tcW w:w="452" w:type="dxa"/>
          </w:tcPr>
          <w:p w14:paraId="26ABC3D4"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30271F00" w14:textId="12C83BD3"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 xml:space="preserve">مادة (27) اختصاصات الجمعية التأسيسية </w:t>
            </w:r>
          </w:p>
          <w:p w14:paraId="48EA5560" w14:textId="2BED9A8D" w:rsidR="00BF1FB7" w:rsidRPr="00BF1FB7" w:rsidRDefault="00BF1FB7" w:rsidP="00BF1FB7">
            <w:pPr>
              <w:ind w:left="37"/>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تعقد الجمعية التأسيسية بدعوة من المؤسسين طبقاً لنظام الشركات وتختص بالأمور التالية:</w:t>
            </w:r>
          </w:p>
          <w:p w14:paraId="4DFDC699" w14:textId="0268948B" w:rsidR="00BF1FB7" w:rsidRPr="00BF1FB7" w:rsidRDefault="00BF1FB7" w:rsidP="00BF1FB7">
            <w:pPr>
              <w:pStyle w:val="ListParagraph"/>
              <w:numPr>
                <w:ilvl w:val="0"/>
                <w:numId w:val="6"/>
              </w:num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التحقق من الاكتتاب بكل رأس المال ومن الوفاء طبقاً لأحكام نظام الشركات وبالحد الأدنى من رأس المال وبالقدر المستحق من قيمة الأسهم.</w:t>
            </w:r>
          </w:p>
          <w:p w14:paraId="08D18F93" w14:textId="01174F46" w:rsidR="00BF1FB7" w:rsidRPr="00BF1FB7" w:rsidRDefault="00BF1FB7" w:rsidP="00BF1FB7">
            <w:pPr>
              <w:pStyle w:val="ListParagraph"/>
              <w:numPr>
                <w:ilvl w:val="0"/>
                <w:numId w:val="6"/>
              </w:num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إقرار النصوص النهائية لنظام الشركة الأساس على ألا تُدخل تعديلات جوهرية على النظام المعروض عليها إلا بموافقة جميع المكتتبين الممثلين فيها.</w:t>
            </w:r>
          </w:p>
          <w:p w14:paraId="64175290" w14:textId="4AC77E63" w:rsidR="00BF1FB7" w:rsidRPr="00BF1FB7" w:rsidRDefault="00BF1FB7" w:rsidP="00BF1FB7">
            <w:pPr>
              <w:pStyle w:val="ListParagraph"/>
              <w:numPr>
                <w:ilvl w:val="0"/>
                <w:numId w:val="6"/>
              </w:num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تعيين أعضاء أول مجلس إدارة لمدة لا تتجاوز خمس سنوات ، ووفقا للمدة الزمنية التي تحددها القواعد التنظيمية للجهات المختصة بالنسبة لمراجع الحسابات.</w:t>
            </w:r>
          </w:p>
          <w:p w14:paraId="16D0A58B" w14:textId="50D96244" w:rsidR="00BF1FB7" w:rsidRPr="00BF1FB7" w:rsidRDefault="00BF1FB7" w:rsidP="00BF1FB7">
            <w:pPr>
              <w:pStyle w:val="ListParagraph"/>
              <w:numPr>
                <w:ilvl w:val="0"/>
                <w:numId w:val="6"/>
              </w:num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المداولة في تقرير المؤسسين عن الأعمال والنفقات التي اقتضاها التأسيس وإقراره.</w:t>
            </w:r>
          </w:p>
          <w:p w14:paraId="5E736FE3" w14:textId="7452BB69" w:rsidR="00BF1FB7" w:rsidRPr="00BF1FB7" w:rsidRDefault="00BF1FB7" w:rsidP="00BF1FB7">
            <w:pPr>
              <w:pStyle w:val="ListParagraph"/>
              <w:numPr>
                <w:ilvl w:val="0"/>
                <w:numId w:val="6"/>
              </w:numPr>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المداولة في تقويم الحصص العينية (إن وجدت).</w:t>
            </w:r>
          </w:p>
          <w:p w14:paraId="0F6FC759" w14:textId="61567F4B" w:rsidR="00BF1FB7" w:rsidRPr="00BF1FB7" w:rsidRDefault="00BF1FB7" w:rsidP="00BF1FB7">
            <w:pPr>
              <w:ind w:left="37"/>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ويشترط لصحة انعقادها حضور عدد من المكتتبين يمثل نصف رأس المال على الأقل ولكل مكتتب في اجتماعاتها صوت عن كل سهم اكتتب به أو من يمثله.</w:t>
            </w:r>
          </w:p>
        </w:tc>
        <w:tc>
          <w:tcPr>
            <w:tcW w:w="1559" w:type="dxa"/>
            <w:shd w:val="clear" w:color="auto" w:fill="auto"/>
          </w:tcPr>
          <w:p w14:paraId="4E3F61D8" w14:textId="5E8B6ECD" w:rsidR="00BF1FB7" w:rsidRPr="003B399E" w:rsidRDefault="0049047C" w:rsidP="00BF1FB7">
            <w:pPr>
              <w:ind w:left="27"/>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FF0000"/>
                <w:sz w:val="22"/>
                <w:szCs w:val="22"/>
                <w:rtl/>
              </w:rPr>
              <w:t xml:space="preserve">تغير (محذوف) </w:t>
            </w:r>
          </w:p>
        </w:tc>
        <w:tc>
          <w:tcPr>
            <w:tcW w:w="3541" w:type="dxa"/>
            <w:shd w:val="clear" w:color="auto" w:fill="auto"/>
          </w:tcPr>
          <w:p w14:paraId="035EFF07" w14:textId="77777777" w:rsidR="00D1191F" w:rsidRDefault="00D1191F" w:rsidP="00BF1FB7">
            <w:pPr>
              <w:rPr>
                <w:rFonts w:ascii="DIN Next LT Arabic Light" w:hAnsi="DIN Next LT Arabic Light" w:cs="DIN Next LT Arabic Light"/>
                <w:color w:val="000000" w:themeColor="text1"/>
                <w:sz w:val="22"/>
                <w:szCs w:val="22"/>
                <w:rtl/>
              </w:rPr>
            </w:pPr>
          </w:p>
          <w:p w14:paraId="7099845E" w14:textId="401E56B3" w:rsidR="00D1191F" w:rsidRPr="00BF1FB7" w:rsidRDefault="003B399E" w:rsidP="00BF1FB7">
            <w:pPr>
              <w:rPr>
                <w:rFonts w:ascii="DIN Next LT Arabic Light" w:hAnsi="DIN Next LT Arabic Light" w:cs="DIN Next LT Arabic Light"/>
                <w:b/>
                <w:bCs/>
                <w:color w:val="000000" w:themeColor="text1"/>
                <w:sz w:val="22"/>
                <w:szCs w:val="22"/>
                <w:rtl/>
              </w:rPr>
            </w:pPr>
            <w:r>
              <w:rPr>
                <w:rFonts w:ascii="DIN Next LT Arabic Light" w:hAnsi="DIN Next LT Arabic Light" w:cs="DIN Next LT Arabic Light" w:hint="cs"/>
                <w:color w:val="000000" w:themeColor="text1"/>
                <w:sz w:val="22"/>
                <w:szCs w:val="22"/>
                <w:rtl/>
              </w:rPr>
              <w:t xml:space="preserve">حذف المادة مع </w:t>
            </w:r>
            <w:r w:rsidRPr="00BF1FB7">
              <w:rPr>
                <w:rFonts w:ascii="DIN Next LT Arabic Light" w:hAnsi="DIN Next LT Arabic Light" w:cs="DIN Next LT Arabic Light" w:hint="cs"/>
                <w:color w:val="000000" w:themeColor="text1"/>
                <w:sz w:val="22"/>
                <w:szCs w:val="22"/>
                <w:rtl/>
              </w:rPr>
              <w:t>الموائمة</w:t>
            </w:r>
          </w:p>
        </w:tc>
      </w:tr>
      <w:tr w:rsidR="00BF1FB7" w:rsidRPr="00BF1FB7" w14:paraId="042D90E4" w14:textId="77777777" w:rsidTr="0049047C">
        <w:trPr>
          <w:trHeight w:val="983"/>
        </w:trPr>
        <w:tc>
          <w:tcPr>
            <w:tcW w:w="452" w:type="dxa"/>
          </w:tcPr>
          <w:p w14:paraId="3ECA70D9"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631C3D96" w14:textId="26845C02"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 xml:space="preserve">مادة (28) اختصاصات الجمعية العامة العادية </w:t>
            </w:r>
          </w:p>
          <w:p w14:paraId="51CD693F" w14:textId="78ABFC08" w:rsidR="00BF1FB7" w:rsidRPr="00BF1FB7" w:rsidRDefault="00BF1FB7" w:rsidP="00BF1FB7">
            <w:pPr>
              <w:ind w:left="37"/>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فيما عدا الأمور التي تختص بها الجمعية العامة غير العادية، تختص الجمعية العامة العادية بجميع الأمور المتعلقة بالشركة، وتنعقد مرة على الأقل في السنة خلال الأشهر الستة التالية لانتهاء السنة المالية للشركة، ويجوز دعوة جمعيات عامة عادية أخرى للاجتماع كلما دعت الحاجة إلى ذلك.</w:t>
            </w:r>
          </w:p>
        </w:tc>
        <w:tc>
          <w:tcPr>
            <w:tcW w:w="1559" w:type="dxa"/>
            <w:shd w:val="clear" w:color="auto" w:fill="auto"/>
          </w:tcPr>
          <w:p w14:paraId="504B7CC3" w14:textId="1715CAC1"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auto"/>
          </w:tcPr>
          <w:p w14:paraId="7AFE2DBC" w14:textId="62A82BA1" w:rsidR="00BF1FB7" w:rsidRPr="00BF1FB7" w:rsidRDefault="00E26ADA" w:rsidP="00D825A9">
            <w:pPr>
              <w:ind w:left="27"/>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 xml:space="preserve">فيما عدا الأمور التي تختص بها الجمعية العامة غير العادية، تختص الجمعية العامة العادية بجميع الأمور المتعلقة بالشركة، وتنعقد مرة على الأقل في السنة خلال </w:t>
            </w:r>
            <w:r w:rsidRPr="00BF1FB7">
              <w:rPr>
                <w:rFonts w:ascii="DIN Next LT Arabic Light" w:hAnsi="DIN Next LT Arabic Light" w:cs="DIN Next LT Arabic Light"/>
                <w:color w:val="000000" w:themeColor="text1"/>
                <w:sz w:val="22"/>
                <w:szCs w:val="22"/>
                <w:rtl/>
              </w:rPr>
              <w:lastRenderedPageBreak/>
              <w:t>الأشهر الستة التالية لانتهاء السنة المالية للشركة، ويجوز دعوة جمعيات عامة عادية أخرى للاجتماع كلما دعت الحاجة إلى ذلك</w:t>
            </w:r>
          </w:p>
        </w:tc>
      </w:tr>
      <w:tr w:rsidR="00BF1FB7" w:rsidRPr="00BF1FB7" w14:paraId="602B3855" w14:textId="77777777" w:rsidTr="0049047C">
        <w:trPr>
          <w:trHeight w:val="983"/>
        </w:trPr>
        <w:tc>
          <w:tcPr>
            <w:tcW w:w="452" w:type="dxa"/>
          </w:tcPr>
          <w:p w14:paraId="087F8AED"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751D0D83" w14:textId="7758108B"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 xml:space="preserve">مادة (29) اختصاصات الجمعية العامة غير العادية </w:t>
            </w:r>
          </w:p>
          <w:p w14:paraId="6528F206" w14:textId="112C8598" w:rsidR="00BF1FB7" w:rsidRPr="00BF1FB7" w:rsidRDefault="00BF1FB7" w:rsidP="00BF1FB7">
            <w:pPr>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تختص الجمعية العامة غير العادية بتعديل نظام الشركة الأساس باستثناء الأمور المحظور عليها تعديلها نظاماً. ولها أن تصدر قرارات في الأمور الداخلة أصلاً في اختصاص الجمعية العامة العادية وذلك بالشروط والأوضاع نفسها المقررة للجمعية العامة العادية.</w:t>
            </w:r>
          </w:p>
        </w:tc>
        <w:tc>
          <w:tcPr>
            <w:tcW w:w="1559" w:type="dxa"/>
            <w:shd w:val="clear" w:color="auto" w:fill="auto"/>
          </w:tcPr>
          <w:p w14:paraId="6ED9B8C7" w14:textId="2ABAD3FB"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auto"/>
          </w:tcPr>
          <w:p w14:paraId="31929A03" w14:textId="445DC3BB" w:rsidR="00BF1FB7" w:rsidRPr="00BF1FB7" w:rsidRDefault="00E26ADA" w:rsidP="00BF1FB7">
            <w:pPr>
              <w:ind w:left="27"/>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تختص الجمعية العامة غير العادية بتعديل نظام الشركة الأساس باستثناء الأمور المحظور عليها تعديلها نظاماً. ولها أن تصدر قرارات في الأمور الداخلة أصلاً في اختصاص الجمعية العامة العادية وذلك بالشروط والأوضاع نفسها المقررة للجمعية العامة العادية.</w:t>
            </w:r>
          </w:p>
        </w:tc>
      </w:tr>
      <w:tr w:rsidR="00BF1FB7" w:rsidRPr="00BF1FB7" w14:paraId="5BC744B6" w14:textId="77777777" w:rsidTr="0049047C">
        <w:trPr>
          <w:trHeight w:val="983"/>
        </w:trPr>
        <w:tc>
          <w:tcPr>
            <w:tcW w:w="452" w:type="dxa"/>
          </w:tcPr>
          <w:p w14:paraId="709699E6"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06A3D635" w14:textId="20016544"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 xml:space="preserve">مادة (31) سجل حضور المساهمين </w:t>
            </w:r>
          </w:p>
          <w:p w14:paraId="0836BC38" w14:textId="0E9A87F2" w:rsidR="00BF1FB7" w:rsidRPr="00BF1FB7" w:rsidRDefault="00BF1FB7" w:rsidP="00BF1FB7">
            <w:pPr>
              <w:ind w:firstLine="26"/>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يسجل المساهمون الذين يرغبون في حضور الجمعية العامة أو الخاصة أسمائهم في مركز الشركة الرئيس قبل الوقت المحدد لانعقاد الجمعية.</w:t>
            </w:r>
          </w:p>
        </w:tc>
        <w:tc>
          <w:tcPr>
            <w:tcW w:w="1559" w:type="dxa"/>
            <w:shd w:val="clear" w:color="auto" w:fill="auto"/>
          </w:tcPr>
          <w:p w14:paraId="36DF6698" w14:textId="774EBD2D" w:rsidR="00BF1FB7" w:rsidRPr="003B399E" w:rsidRDefault="0012497C" w:rsidP="003B399E">
            <w:pPr>
              <w:ind w:left="27"/>
              <w:jc w:val="center"/>
              <w:rPr>
                <w:rFonts w:ascii="DIN Next LT Arabic Light" w:hAnsi="DIN Next LT Arabic Light" w:cs="DIN Next LT Arabic Light"/>
                <w:b/>
                <w:bCs/>
                <w:color w:val="000000" w:themeColor="text1"/>
                <w:sz w:val="22"/>
                <w:szCs w:val="22"/>
                <w:rtl/>
              </w:rPr>
            </w:pPr>
            <w:r w:rsidRPr="0012497C">
              <w:rPr>
                <w:rFonts w:ascii="DIN Next LT Arabic Light" w:hAnsi="DIN Next LT Arabic Light" w:cs="DIN Next LT Arabic Light" w:hint="cs"/>
                <w:b/>
                <w:bCs/>
                <w:color w:val="FF0000"/>
                <w:sz w:val="22"/>
                <w:szCs w:val="22"/>
                <w:rtl/>
              </w:rPr>
              <w:t>تغير (محذوف)</w:t>
            </w:r>
          </w:p>
        </w:tc>
        <w:tc>
          <w:tcPr>
            <w:tcW w:w="3541" w:type="dxa"/>
            <w:shd w:val="clear" w:color="auto" w:fill="auto"/>
          </w:tcPr>
          <w:p w14:paraId="336F9C2D" w14:textId="0622DA2B" w:rsidR="00BF1FB7" w:rsidRPr="00BF1FB7" w:rsidRDefault="0012497C" w:rsidP="00BF1FB7">
            <w:pPr>
              <w:ind w:left="27"/>
              <w:rPr>
                <w:rFonts w:ascii="DIN Next LT Arabic Light" w:hAnsi="DIN Next LT Arabic Light" w:cs="DIN Next LT Arabic Light"/>
                <w:b/>
                <w:bCs/>
                <w:color w:val="000000" w:themeColor="text1"/>
                <w:sz w:val="22"/>
                <w:szCs w:val="22"/>
                <w:rtl/>
              </w:rPr>
            </w:pPr>
            <w:r>
              <w:rPr>
                <w:rFonts w:ascii="DIN Next LT Arabic Light" w:hAnsi="DIN Next LT Arabic Light" w:cs="DIN Next LT Arabic Light" w:hint="cs"/>
                <w:color w:val="000000" w:themeColor="text1"/>
                <w:sz w:val="22"/>
                <w:szCs w:val="22"/>
                <w:rtl/>
              </w:rPr>
              <w:t>لا يشتر</w:t>
            </w:r>
            <w:r>
              <w:rPr>
                <w:rFonts w:ascii="DIN Next LT Arabic Light" w:hAnsi="DIN Next LT Arabic Light" w:cs="DIN Next LT Arabic Light" w:hint="eastAsia"/>
                <w:color w:val="000000" w:themeColor="text1"/>
                <w:sz w:val="22"/>
                <w:szCs w:val="22"/>
                <w:rtl/>
              </w:rPr>
              <w:t>ط</w:t>
            </w:r>
            <w:r>
              <w:rPr>
                <w:rFonts w:ascii="DIN Next LT Arabic Light" w:hAnsi="DIN Next LT Arabic Light" w:cs="DIN Next LT Arabic Light" w:hint="cs"/>
                <w:color w:val="000000" w:themeColor="text1"/>
                <w:sz w:val="22"/>
                <w:szCs w:val="22"/>
                <w:rtl/>
              </w:rPr>
              <w:t xml:space="preserve"> نظام الشركات الجديد على المساهمين تسجيل أسماءهم في مركز الشركة الرئيس </w:t>
            </w:r>
          </w:p>
        </w:tc>
      </w:tr>
      <w:tr w:rsidR="00BF1FB7" w:rsidRPr="00BF1FB7" w14:paraId="3F6F36BC" w14:textId="77777777" w:rsidTr="0049047C">
        <w:trPr>
          <w:trHeight w:val="983"/>
        </w:trPr>
        <w:tc>
          <w:tcPr>
            <w:tcW w:w="452" w:type="dxa"/>
          </w:tcPr>
          <w:p w14:paraId="3ED8B32E"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28939A2C" w14:textId="5C9AEF3C"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 xml:space="preserve">مادة (32) نصاب اجتماع الجمعية العامة العادية </w:t>
            </w:r>
          </w:p>
          <w:p w14:paraId="57E732DE" w14:textId="7AF6576F" w:rsidR="00BF1FB7" w:rsidRPr="00BF1FB7" w:rsidRDefault="00BF1FB7" w:rsidP="00BF1FB7">
            <w:pPr>
              <w:jc w:val="lowKashida"/>
              <w:rPr>
                <w:rFonts w:ascii="DIN Next LT Arabic Light" w:hAnsi="DIN Next LT Arabic Light" w:cs="DIN Next LT Arabic Light"/>
                <w:b/>
                <w:bCs/>
                <w:color w:val="000000" w:themeColor="text1"/>
                <w:sz w:val="22"/>
                <w:szCs w:val="22"/>
              </w:rPr>
            </w:pPr>
            <w:r w:rsidRPr="00BF1FB7">
              <w:rPr>
                <w:rFonts w:ascii="DIN Next LT Arabic Light" w:hAnsi="DIN Next LT Arabic Light" w:cs="DIN Next LT Arabic Light"/>
                <w:color w:val="000000" w:themeColor="text1"/>
                <w:sz w:val="22"/>
                <w:szCs w:val="22"/>
                <w:rtl/>
              </w:rPr>
              <w:t>لا يكون انعقاد اجتماع الجمعية العامة العادية صحيحاً إلا إذا حضره مساهمون يمثلون ربع رأس مال الشركة على الأقل، فإذا لم يتوفر هذا النصاب في الاجتماع الأول، فيعقد الاجتماع الثاني بعد ساعة من انتهاء المدة المحددة لانعقاد الاجتماع الأول بشرط أن تتضمن الدعوة لعقد الاجتماع الأول ما يفيد الإعلان عن إمكانية عقد هذا الاجتماع. ويكون الاجتماع الثاني صحيحاً أياً كان عدد الأسهم الممثلة فيه.</w:t>
            </w:r>
          </w:p>
        </w:tc>
        <w:tc>
          <w:tcPr>
            <w:tcW w:w="1559" w:type="dxa"/>
            <w:shd w:val="clear" w:color="auto" w:fill="auto"/>
          </w:tcPr>
          <w:p w14:paraId="5B974125" w14:textId="3264CA19"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auto"/>
          </w:tcPr>
          <w:p w14:paraId="54AB01C1" w14:textId="6E5EEE20" w:rsidR="00BF1FB7" w:rsidRPr="00BF1FB7" w:rsidRDefault="00D825A9" w:rsidP="009E634E">
            <w:pPr>
              <w:ind w:left="27"/>
              <w:rPr>
                <w:rFonts w:ascii="DIN Next LT Arabic Light" w:hAnsi="DIN Next LT Arabic Light" w:cs="DIN Next LT Arabic Light"/>
                <w:b/>
                <w:bCs/>
                <w:color w:val="000000" w:themeColor="text1"/>
                <w:sz w:val="22"/>
                <w:szCs w:val="22"/>
                <w:rtl/>
              </w:rPr>
            </w:pPr>
            <w:r>
              <w:rPr>
                <w:rFonts w:ascii="DIN Next LT Arabic Light" w:hAnsi="DIN Next LT Arabic Light" w:cs="DIN Next LT Arabic Light" w:hint="cs"/>
                <w:color w:val="000000" w:themeColor="text1"/>
                <w:sz w:val="22"/>
                <w:szCs w:val="22"/>
                <w:rtl/>
              </w:rPr>
              <w:t xml:space="preserve">لا </w:t>
            </w:r>
            <w:r w:rsidRPr="00BF1FB7">
              <w:rPr>
                <w:rFonts w:ascii="DIN Next LT Arabic Light" w:hAnsi="DIN Next LT Arabic Light" w:cs="DIN Next LT Arabic Light"/>
                <w:color w:val="000000" w:themeColor="text1"/>
                <w:sz w:val="22"/>
                <w:szCs w:val="22"/>
                <w:rtl/>
              </w:rPr>
              <w:t>يكون انعقاد اجتماع الجمعية العامة العادية صحيحاً إلا إذا حضره مساهمون يمثلون ربع رأس مال الشركة على الأقل، فإذا لم يتوفر هذا النصاب في الاجتماع الأول، فيعقد الاجتماع الثاني بعد ساعة من انتهاء المدة المحددة لانعقاد الاجتماع الأول بشرط أن تتضمن الدعوة لعقد الاجتماع الأول ما يفيد الإعلان عن إمكانية عقد هذا الاجتماع. ويكون الاجتماع الثاني صحيحاً أياً كان عدد الأسهم الممثلة فيه.</w:t>
            </w:r>
          </w:p>
        </w:tc>
      </w:tr>
      <w:tr w:rsidR="00BF1FB7" w:rsidRPr="00BF1FB7" w14:paraId="47C25FBB" w14:textId="77777777" w:rsidTr="0049047C">
        <w:trPr>
          <w:trHeight w:val="983"/>
        </w:trPr>
        <w:tc>
          <w:tcPr>
            <w:tcW w:w="452" w:type="dxa"/>
          </w:tcPr>
          <w:p w14:paraId="3DE50564"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06DF5776" w14:textId="1A5EB225"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 xml:space="preserve">مادة (33) نصاب اجتماع الجمعية العامة غير العادية </w:t>
            </w:r>
          </w:p>
          <w:p w14:paraId="324FC093" w14:textId="2FEF6DB0" w:rsidR="00BF1FB7" w:rsidRPr="00BF1FB7" w:rsidRDefault="00BF1FB7" w:rsidP="00BF1FB7">
            <w:pPr>
              <w:ind w:left="37"/>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 xml:space="preserve">لا يكون اجتماع الجمعية العامة غير العادية صحيحاً إلا إذا حضره مساهمون يمثلون نصف رأس المال على الأقل، فإذا لم يتوفر هذا النصاب في الاجتماع الأول، فيعقد الاجتماع الثاني بعد ساعة من انتهاء المدة المحددة لانعقاد الاجتماع الأول، </w:t>
            </w:r>
            <w:r w:rsidRPr="00BF1FB7">
              <w:rPr>
                <w:rFonts w:ascii="DIN Next LT Arabic Light" w:hAnsi="DIN Next LT Arabic Light" w:cs="DIN Next LT Arabic Light"/>
                <w:color w:val="000000" w:themeColor="text1"/>
                <w:sz w:val="22"/>
                <w:szCs w:val="22"/>
                <w:rtl/>
              </w:rPr>
              <w:lastRenderedPageBreak/>
              <w:t>بشرط أن تتضمن الدعوة لعقد الاجتماع الأول ما يفيد الإعلان عن إمكانية عقد هذا الاجتماع. ويكون الاجتماع الثاني صحيحاً إذا حضره عدد من المساهمين يمثل ربع رأس المال على الأقل.</w:t>
            </w:r>
          </w:p>
          <w:p w14:paraId="4F700965" w14:textId="67AFB993" w:rsidR="00BF1FB7" w:rsidRPr="00BF1FB7" w:rsidRDefault="00BF1FB7" w:rsidP="00BF1FB7">
            <w:pPr>
              <w:ind w:left="37"/>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وإذا لم يتوافر النصاب اللازم في الاجتماع الثاني، وجهت دعوة إلى اجتماع ثالث ينعقد بالأوضاع نفسها المنصوص عليها في المادة (30) من هذا النظام، ويكون الاجتماع الثالث صحيحاً أياً كان عدد الأسهم الممثلة فيه بعد موافقة الجهة المختصة.</w:t>
            </w:r>
          </w:p>
          <w:p w14:paraId="477F65AF" w14:textId="5B6F1AA9" w:rsidR="00BF1FB7" w:rsidRPr="00BF1FB7" w:rsidRDefault="00BF1FB7" w:rsidP="00BF1FB7">
            <w:pPr>
              <w:ind w:left="37"/>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وعلى مجلس الإدارة أن يشهر قرارات الجمعية العامة غير العادية في موقع الوزارة الالكتروني إذا تضمنت تعديل نظام الشركة الأساس.</w:t>
            </w:r>
          </w:p>
        </w:tc>
        <w:tc>
          <w:tcPr>
            <w:tcW w:w="1559" w:type="dxa"/>
            <w:shd w:val="clear" w:color="auto" w:fill="auto"/>
          </w:tcPr>
          <w:p w14:paraId="7D6CD26C" w14:textId="09B33EFC"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lastRenderedPageBreak/>
              <w:t>لم يتغير</w:t>
            </w:r>
          </w:p>
        </w:tc>
        <w:tc>
          <w:tcPr>
            <w:tcW w:w="3541" w:type="dxa"/>
            <w:shd w:val="clear" w:color="auto" w:fill="auto"/>
          </w:tcPr>
          <w:p w14:paraId="361A1366" w14:textId="77777777" w:rsidR="009E634E" w:rsidRPr="00BF1FB7" w:rsidRDefault="009E634E" w:rsidP="0049047C">
            <w:pPr>
              <w:ind w:left="37"/>
              <w:jc w:val="both"/>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 xml:space="preserve">لا يكون اجتماع الجمعية العامة غير العادية صحيحاً إلا إذا حضره مساهمون يمثلون نصف رأس المال على الأقل، فإذا لم يتوفر هذا النصاب في الاجتماع الأول، فيعقد </w:t>
            </w:r>
            <w:r w:rsidRPr="00BF1FB7">
              <w:rPr>
                <w:rFonts w:ascii="DIN Next LT Arabic Light" w:hAnsi="DIN Next LT Arabic Light" w:cs="DIN Next LT Arabic Light"/>
                <w:color w:val="000000" w:themeColor="text1"/>
                <w:sz w:val="22"/>
                <w:szCs w:val="22"/>
                <w:rtl/>
              </w:rPr>
              <w:lastRenderedPageBreak/>
              <w:t>الاجتماع الثاني بعد ساعة من انتهاء المدة المحددة لانعقاد الاجتماع الأول، بشرط أن تتضمن الدعوة لعقد الاجتماع الأول ما يفيد الإعلان عن إمكانية عقد هذا الاجتماع. ويكون الاجتماع الثاني صحيحاً إذا حضره عدد من المساهمين يمثل ربع رأس المال على الأقل.</w:t>
            </w:r>
          </w:p>
          <w:p w14:paraId="21670540" w14:textId="77777777" w:rsidR="009E634E" w:rsidRPr="00BF1FB7" w:rsidRDefault="009E634E" w:rsidP="0049047C">
            <w:pPr>
              <w:ind w:left="37"/>
              <w:jc w:val="both"/>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وإذا لم يتوافر النصاب اللازم في الاجتماع الثاني، وجهت دعوة إلى اجتماع ثالث ينعقد بالأوضاع نفسها المنصوص عليها في المادة (30) من هذا النظام، ويكون الاجتماع الثالث صحيحاً أياً كان عدد الأسهم الممثلة فيه بعد موافقة الجهة المختصة.</w:t>
            </w:r>
          </w:p>
          <w:p w14:paraId="52D16FFF" w14:textId="27D0A1F3" w:rsidR="00BF1FB7" w:rsidRPr="00BF1FB7" w:rsidRDefault="009E634E" w:rsidP="0049047C">
            <w:pPr>
              <w:ind w:left="27"/>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وعلى مجلس الإدارة أن يشهر قرارات الجمعية العامة غير العادية في موقع الوزارة الالكتروني إذا تضمنت تعديل نظام الشركة الأساس.</w:t>
            </w:r>
          </w:p>
        </w:tc>
      </w:tr>
      <w:tr w:rsidR="00BF1FB7" w:rsidRPr="00BF1FB7" w14:paraId="632330E3" w14:textId="77777777" w:rsidTr="0049047C">
        <w:trPr>
          <w:trHeight w:val="983"/>
        </w:trPr>
        <w:tc>
          <w:tcPr>
            <w:tcW w:w="452" w:type="dxa"/>
          </w:tcPr>
          <w:p w14:paraId="7D5F1AD6"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58175259" w14:textId="160C9FE7"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 xml:space="preserve">مادة (35) قرارات الجمعيات </w:t>
            </w:r>
          </w:p>
          <w:p w14:paraId="3F65657A" w14:textId="7C490FAC" w:rsidR="00BF1FB7" w:rsidRPr="00BF1FB7" w:rsidRDefault="00BF1FB7" w:rsidP="00BF1FB7">
            <w:pPr>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تصدر القرارات في الجمعية التأسيسية بالأغلبية المطلقة للأسهم الممثلة فيها، وتصدر قرارات الجمعية العامة العادية بالأغلبية المطلقة للأسهم الممثلة في الاجتماع، كما تصدر قرارات الجمعية العامة غير العادية بأغلبية ثلثي الأسهم الممثلة في الاجتماع، إلا إذا كان قراراً متعلقا بزيادة رأس المال أو تخفيضه أو بإطالة مدة الشركة أو بحلها قبل انقضاء المدة المحددة في نظامها الأساس أو باندماجها مع شركة أخرى، فلا يكون صحيحاً إلا إذا صدر بأغلبية ثلاثة أرباع الأسهم الممثلة في الاجتماع.</w:t>
            </w:r>
          </w:p>
        </w:tc>
        <w:tc>
          <w:tcPr>
            <w:tcW w:w="1559" w:type="dxa"/>
            <w:shd w:val="clear" w:color="auto" w:fill="auto"/>
          </w:tcPr>
          <w:p w14:paraId="2FF2C6F3" w14:textId="3E2AEF95"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FF0000"/>
                <w:sz w:val="22"/>
                <w:szCs w:val="22"/>
                <w:rtl/>
              </w:rPr>
              <w:t>تغير</w:t>
            </w:r>
          </w:p>
        </w:tc>
        <w:tc>
          <w:tcPr>
            <w:tcW w:w="3541" w:type="dxa"/>
            <w:shd w:val="clear" w:color="auto" w:fill="auto"/>
          </w:tcPr>
          <w:p w14:paraId="0FC712A6" w14:textId="1F51DD6B" w:rsidR="00BF1FB7" w:rsidRPr="00BF1FB7" w:rsidRDefault="009E634E" w:rsidP="0049047C">
            <w:pPr>
              <w:ind w:left="27"/>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تصدر قرارات الجمعية العامة العادية بالأغلبية المطلقة للأسهم الممثلة في الاجتماع، كما تصدر قرارات الجمعية العامة غير العادية بأغلبية ثلثي الأسهم الممثلة في الاجتماع، إلا إذا كان قراراً متعلقا بزيادة رأس المال أو تخفيضه أو بإطالة مدة الشركة أو بحلها قبل انقضاء المدة المحددة في نظامها الأساس أو باندماجها مع شركة أخرى، فلا يكون صحيحاً إلا إذا صدر بأغلبية ثلاثة أرباع الأسهم الممثلة في الاجتماع.</w:t>
            </w:r>
          </w:p>
        </w:tc>
      </w:tr>
      <w:tr w:rsidR="00BF1FB7" w:rsidRPr="00BF1FB7" w14:paraId="4F461A08" w14:textId="77777777" w:rsidTr="0049047C">
        <w:trPr>
          <w:trHeight w:val="983"/>
        </w:trPr>
        <w:tc>
          <w:tcPr>
            <w:tcW w:w="452" w:type="dxa"/>
          </w:tcPr>
          <w:p w14:paraId="338CB3C6"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4F618C75" w14:textId="44956D3E"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 xml:space="preserve">مادة (36) المناقشة في الجمعيات </w:t>
            </w:r>
          </w:p>
          <w:p w14:paraId="5476E344" w14:textId="3941CC38" w:rsidR="00BF1FB7" w:rsidRPr="00BF1FB7" w:rsidRDefault="00BF1FB7" w:rsidP="00BF1FB7">
            <w:pPr>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لكل مساهم حق مناقشة الموضوعات المدرجة في جدول أعمال الجمعية وتوجيه الاسئلة في شأنها إلى أعضاء مجلس الإدارة ومراجع الحسابات، ويجيب مجلس الإدارة أو مراجع الحسابات على اسئلة المساهمين بالقدر الذي لا يعرض مصلحة الشركة للضرر، وإذا رأى المساهم ان الرد على سؤاله غير مقنع، احتكم إلى الجمعية ويكون قرارها في هذا الشأن نافذاً.</w:t>
            </w:r>
          </w:p>
        </w:tc>
        <w:tc>
          <w:tcPr>
            <w:tcW w:w="1559" w:type="dxa"/>
            <w:shd w:val="clear" w:color="auto" w:fill="auto"/>
          </w:tcPr>
          <w:p w14:paraId="6FF97C25" w14:textId="16142CE3"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auto"/>
          </w:tcPr>
          <w:p w14:paraId="511C8C7B" w14:textId="0F94EA2A" w:rsidR="00BF1FB7" w:rsidRPr="00BF1FB7" w:rsidRDefault="00F75033" w:rsidP="0049047C">
            <w:pPr>
              <w:ind w:left="27"/>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لكل مساهم حق مناقشة الموضوعات المدرجة في جدول أعمال الجمعية وتوجيه الاسئلة في شأنها إلى أعضاء مجلس الإدارة ومراجع الحسابات، ويجيب مجلس الإدارة أو مراجع الحسابات على اسئلة المساهمين بالقدر الذي لا يعرض مصلحة الشركة للضرر، وإذا رأى المساهم ان الرد على سؤاله غير مقنع، احتكم إلى الجمعية</w:t>
            </w:r>
            <w:r>
              <w:rPr>
                <w:rFonts w:ascii="DIN Next LT Arabic Light" w:hAnsi="DIN Next LT Arabic Light" w:cs="DIN Next LT Arabic Light" w:hint="cs"/>
                <w:color w:val="000000" w:themeColor="text1"/>
                <w:sz w:val="22"/>
                <w:szCs w:val="22"/>
                <w:rtl/>
              </w:rPr>
              <w:t xml:space="preserve"> العامة</w:t>
            </w:r>
            <w:r w:rsidRPr="00BF1FB7">
              <w:rPr>
                <w:rFonts w:ascii="DIN Next LT Arabic Light" w:hAnsi="DIN Next LT Arabic Light" w:cs="DIN Next LT Arabic Light"/>
                <w:color w:val="000000" w:themeColor="text1"/>
                <w:sz w:val="22"/>
                <w:szCs w:val="22"/>
                <w:rtl/>
              </w:rPr>
              <w:t xml:space="preserve"> ويكون قرارها في هذا الشأن نافذاً.</w:t>
            </w:r>
          </w:p>
        </w:tc>
      </w:tr>
      <w:tr w:rsidR="00BF1FB7" w:rsidRPr="00BF1FB7" w14:paraId="12C5B414" w14:textId="77777777" w:rsidTr="0049047C">
        <w:trPr>
          <w:trHeight w:val="983"/>
        </w:trPr>
        <w:tc>
          <w:tcPr>
            <w:tcW w:w="452" w:type="dxa"/>
          </w:tcPr>
          <w:p w14:paraId="2D50F1E4"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4E1FA6E9" w14:textId="37D97B03" w:rsidR="00BF1FB7" w:rsidRPr="00BF1FB7" w:rsidRDefault="00BF1FB7" w:rsidP="00BF1FB7">
            <w:pPr>
              <w:autoSpaceDE w:val="0"/>
              <w:autoSpaceDN w:val="0"/>
              <w:adjustRightInd w:val="0"/>
              <w:jc w:val="both"/>
              <w:rPr>
                <w:rFonts w:ascii="DIN Next LT Arabic Light" w:hAnsi="DIN Next LT Arabic Light" w:cs="DIN Next LT Arabic Light"/>
                <w:b/>
                <w:bCs/>
                <w:color w:val="000000" w:themeColor="text1"/>
                <w:sz w:val="22"/>
                <w:szCs w:val="22"/>
              </w:rPr>
            </w:pPr>
            <w:r w:rsidRPr="00BF1FB7">
              <w:rPr>
                <w:rFonts w:ascii="DIN Next LT Arabic Light" w:hAnsi="DIN Next LT Arabic Light" w:cs="DIN Next LT Arabic Light"/>
                <w:b/>
                <w:bCs/>
                <w:color w:val="000000" w:themeColor="text1"/>
                <w:sz w:val="22"/>
                <w:szCs w:val="22"/>
                <w:rtl/>
              </w:rPr>
              <w:t>المادة ( 37 ): رئاسة الجمعيات وإعداد المحاضر</w:t>
            </w:r>
          </w:p>
          <w:p w14:paraId="2F5304C6" w14:textId="3BF444C1" w:rsidR="00BF1FB7" w:rsidRPr="00BF1FB7" w:rsidRDefault="00BF1FB7" w:rsidP="00BF1FB7">
            <w:pPr>
              <w:autoSpaceDE w:val="0"/>
              <w:autoSpaceDN w:val="0"/>
              <w:adjustRightInd w:val="0"/>
              <w:jc w:val="both"/>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يرأس اجتماعات الجمعيات العامة للمساهمين رئيس مجلس الإدارة أو نائبه عند غيابه أو من ينتدبه مجلس الإدارة من أعضائه لذلك في حال غياب رئيس مجلس الإدارة ونائبه</w:t>
            </w:r>
            <w:r w:rsidRPr="00BF1FB7">
              <w:rPr>
                <w:rFonts w:ascii="DIN Next LT Arabic Light" w:hAnsi="DIN Next LT Arabic Light" w:cs="DIN Next LT Arabic Light"/>
                <w:color w:val="000000" w:themeColor="text1"/>
                <w:sz w:val="22"/>
                <w:szCs w:val="22"/>
              </w:rPr>
              <w:t>.</w:t>
            </w:r>
            <w:r w:rsidRPr="00BF1FB7">
              <w:rPr>
                <w:rFonts w:ascii="DIN Next LT Arabic Light" w:hAnsi="DIN Next LT Arabic Light" w:cs="DIN Next LT Arabic Light"/>
                <w:color w:val="000000" w:themeColor="text1"/>
                <w:sz w:val="22"/>
                <w:szCs w:val="22"/>
                <w:rtl/>
              </w:rPr>
              <w:t xml:space="preserve"> كما يجوز أن ينتدب المساهمون أحد أعضاء مجلس الإدارة لرئاسة الجمعية في حال غياب رئيس المجلس ونائبه.</w:t>
            </w:r>
          </w:p>
          <w:p w14:paraId="752FF33C" w14:textId="4CDED42F" w:rsidR="00BF1FB7" w:rsidRPr="00BF1FB7" w:rsidRDefault="00BF1FB7" w:rsidP="00BF1FB7">
            <w:pPr>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 xml:space="preserve">كما يعين رئيس الجمعية أمين سر للإجتماع وجامعاً للأصوات </w:t>
            </w:r>
            <w:r w:rsidRPr="00BF1FB7">
              <w:rPr>
                <w:rFonts w:ascii="DIN Next LT Arabic Light" w:hAnsi="DIN Next LT Arabic Light" w:cs="DIN Next LT Arabic Light"/>
                <w:color w:val="000000" w:themeColor="text1"/>
                <w:sz w:val="22"/>
                <w:szCs w:val="22"/>
                <w:highlight w:val="lightGray"/>
                <w:rtl/>
              </w:rPr>
              <w:t>ويحرر باجتماع الجمعية محضر يتضمن عدد المساهمين الحاضرين أو الممثلين وعدد الأسهم التي في حيازتهم بالأصالة أو الوكالة وعدد الأصوات المقررة لها والقرارات التي اتخذت وعدد الأصوات التي وافقت عليها أو خالفتها وخلاصة وافية للمناقشات التي دارت في الاجتماع. وتدون المحاضر بصفة منتظمة عقب كل اجتماع في سجل خاص يوقعه رئيس الجمعية وأمين سرها وجامع الأصوات</w:t>
            </w:r>
            <w:r w:rsidRPr="00BF1FB7">
              <w:rPr>
                <w:rFonts w:ascii="DIN Next LT Arabic Light" w:hAnsi="DIN Next LT Arabic Light" w:cs="DIN Next LT Arabic Light"/>
                <w:color w:val="000000" w:themeColor="text1"/>
                <w:sz w:val="22"/>
                <w:szCs w:val="22"/>
              </w:rPr>
              <w:t>.</w:t>
            </w:r>
          </w:p>
        </w:tc>
        <w:tc>
          <w:tcPr>
            <w:tcW w:w="1559" w:type="dxa"/>
            <w:shd w:val="clear" w:color="auto" w:fill="auto"/>
          </w:tcPr>
          <w:p w14:paraId="4B933F61" w14:textId="6C897350"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auto"/>
          </w:tcPr>
          <w:p w14:paraId="6199BC9C" w14:textId="77777777" w:rsidR="00A73C75" w:rsidRPr="00A73C75" w:rsidRDefault="00A73C75" w:rsidP="00822ED8">
            <w:pPr>
              <w:pStyle w:val="ListParagraph"/>
              <w:ind w:left="27"/>
              <w:jc w:val="both"/>
              <w:rPr>
                <w:rFonts w:ascii="DIN Next LT Arabic Light" w:hAnsi="DIN Next LT Arabic Light" w:cs="DIN Next LT Arabic Light"/>
                <w:color w:val="000000" w:themeColor="text1"/>
                <w:sz w:val="22"/>
                <w:szCs w:val="22"/>
                <w:rtl/>
              </w:rPr>
            </w:pPr>
            <w:r w:rsidRPr="00A73C75">
              <w:rPr>
                <w:rFonts w:ascii="DIN Next LT Arabic Light" w:hAnsi="DIN Next LT Arabic Light" w:cs="DIN Next LT Arabic Light"/>
                <w:color w:val="000000" w:themeColor="text1"/>
                <w:sz w:val="22"/>
                <w:szCs w:val="22"/>
                <w:rtl/>
              </w:rPr>
              <w:t>يرأس اجتماعات الجمعيات العامة للمساهمين رئيس مجلس الإدارة أو نائبه عند غيابه أو من ينتدبه مجلس الإدارة من أعضائه لذلك في حال غياب رئيس مجلس الإدارة ونائبه. كما يجوز أن ينتدب المساهمون أحد أعضاء مجلس الإدارة لرئاسة الجمعية في حال غياب رئيس المجلس ونائبه.</w:t>
            </w:r>
          </w:p>
          <w:p w14:paraId="6AF34C5E" w14:textId="115137E7" w:rsidR="00BF1FB7" w:rsidRPr="00BF1FB7" w:rsidRDefault="00A73C75" w:rsidP="00822ED8">
            <w:pPr>
              <w:ind w:left="64"/>
              <w:jc w:val="both"/>
              <w:rPr>
                <w:rFonts w:ascii="DIN Next LT Arabic Light" w:hAnsi="DIN Next LT Arabic Light" w:cs="DIN Next LT Arabic Light"/>
                <w:b/>
                <w:bCs/>
                <w:color w:val="000000" w:themeColor="text1"/>
                <w:sz w:val="22"/>
                <w:szCs w:val="22"/>
                <w:rtl/>
              </w:rPr>
            </w:pPr>
            <w:r w:rsidRPr="00A73C75">
              <w:rPr>
                <w:rFonts w:ascii="DIN Next LT Arabic Light" w:hAnsi="DIN Next LT Arabic Light" w:cs="DIN Next LT Arabic Light"/>
                <w:color w:val="000000" w:themeColor="text1"/>
                <w:sz w:val="22"/>
                <w:szCs w:val="22"/>
                <w:rtl/>
              </w:rPr>
              <w:t xml:space="preserve">كما يعين رئيس الجمعية أمين سر </w:t>
            </w:r>
            <w:r w:rsidR="0049047C" w:rsidRPr="00A73C75">
              <w:rPr>
                <w:rFonts w:ascii="DIN Next LT Arabic Light" w:hAnsi="DIN Next LT Arabic Light" w:cs="DIN Next LT Arabic Light" w:hint="cs"/>
                <w:color w:val="000000" w:themeColor="text1"/>
                <w:sz w:val="22"/>
                <w:szCs w:val="22"/>
                <w:rtl/>
              </w:rPr>
              <w:t>للاجتماع</w:t>
            </w:r>
            <w:r w:rsidRPr="00A73C75">
              <w:rPr>
                <w:rFonts w:ascii="DIN Next LT Arabic Light" w:hAnsi="DIN Next LT Arabic Light" w:cs="DIN Next LT Arabic Light"/>
                <w:color w:val="000000" w:themeColor="text1"/>
                <w:sz w:val="22"/>
                <w:szCs w:val="22"/>
                <w:rtl/>
              </w:rPr>
              <w:t xml:space="preserve"> وجامعاً للأصوات ويحرر باجتماع الجمعية محضر يتضمن عدد المساهمين الحاضرين أو الممثلين وعدد الأسهم التي في حيازتهم بالأصالة أو الوكالة وعدد الأصوات المقررة لها والقرارات التي اتخذت وعدد الأصوات التي وافقت عليها أو خالفتها وخلاصة وافية للمناقشات التي دارت في الاجتماع. وتدون المحاضر بصفة منتظمة عقب كل اجتماع في سجل خاص يوقعه </w:t>
            </w:r>
            <w:r w:rsidRPr="00A73C75">
              <w:rPr>
                <w:rFonts w:ascii="DIN Next LT Arabic Light" w:hAnsi="DIN Next LT Arabic Light" w:cs="DIN Next LT Arabic Light"/>
                <w:color w:val="000000" w:themeColor="text1"/>
                <w:sz w:val="22"/>
                <w:szCs w:val="22"/>
                <w:rtl/>
              </w:rPr>
              <w:lastRenderedPageBreak/>
              <w:t>رئيس الجمعية وأمين سرها وجامع الأصوات.</w:t>
            </w:r>
          </w:p>
        </w:tc>
      </w:tr>
      <w:tr w:rsidR="00BF1FB7" w:rsidRPr="00BF1FB7" w14:paraId="03AA00D1" w14:textId="77777777" w:rsidTr="0049047C">
        <w:trPr>
          <w:trHeight w:val="983"/>
        </w:trPr>
        <w:tc>
          <w:tcPr>
            <w:tcW w:w="452" w:type="dxa"/>
          </w:tcPr>
          <w:p w14:paraId="181FA365"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29C8DCBC" w14:textId="155C7C77" w:rsidR="00BF1FB7" w:rsidRPr="00BF1FB7" w:rsidRDefault="00BF1FB7" w:rsidP="00BF1FB7">
            <w:pPr>
              <w:ind w:left="720" w:hanging="720"/>
              <w:jc w:val="center"/>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الباب الخامس - لجنة المراجعة</w:t>
            </w:r>
          </w:p>
          <w:p w14:paraId="19C8E447" w14:textId="7CB44FCD"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(38) تشكيل اللجنة</w:t>
            </w:r>
          </w:p>
          <w:p w14:paraId="53B4EFBD" w14:textId="2FEF3D5E" w:rsidR="00BF1FB7" w:rsidRPr="00BF1FB7" w:rsidRDefault="00BF1FB7" w:rsidP="00BF1FB7">
            <w:pPr>
              <w:autoSpaceDE w:val="0"/>
              <w:autoSpaceDN w:val="0"/>
              <w:adjustRightInd w:val="0"/>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تشكل بقرار من الجمعية العامة العادية لجنة مراجعة من غير أعضاء مجلس الإدارة التنفيذيين سواء من المساهمين أو من غيرهم، على ألا يقل عدد أعضائها عن ثلاثة ولا يزيد على خمسة، وأن تحدد في القرار مهمات اللجنة وضوابط عملها، ومكافآت أعضائها.</w:t>
            </w:r>
          </w:p>
        </w:tc>
        <w:tc>
          <w:tcPr>
            <w:tcW w:w="1559" w:type="dxa"/>
            <w:shd w:val="clear" w:color="auto" w:fill="auto"/>
          </w:tcPr>
          <w:p w14:paraId="5F5DFF33" w14:textId="53701F48" w:rsidR="00B96F39" w:rsidRPr="003B399E" w:rsidRDefault="00E3066E" w:rsidP="00BF1FB7">
            <w:pPr>
              <w:ind w:left="27"/>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 (</w:t>
            </w:r>
            <w:r w:rsidR="00226B77" w:rsidRPr="003B399E">
              <w:rPr>
                <w:rFonts w:ascii="DIN Next LT Arabic Light" w:hAnsi="DIN Next LT Arabic Light" w:cs="DIN Next LT Arabic Light" w:hint="cs"/>
                <w:b/>
                <w:bCs/>
                <w:color w:val="00B050"/>
                <w:sz w:val="22"/>
                <w:szCs w:val="22"/>
                <w:rtl/>
              </w:rPr>
              <w:t>مادة اختياريه يجوز اضافتها</w:t>
            </w:r>
            <w:r w:rsidRPr="003B399E">
              <w:rPr>
                <w:rFonts w:ascii="DIN Next LT Arabic Light" w:hAnsi="DIN Next LT Arabic Light" w:cs="DIN Next LT Arabic Light" w:hint="cs"/>
                <w:b/>
                <w:bCs/>
                <w:color w:val="00B050"/>
                <w:sz w:val="22"/>
                <w:szCs w:val="22"/>
                <w:rtl/>
              </w:rPr>
              <w:t>)</w:t>
            </w:r>
            <w:r w:rsidR="00226B77" w:rsidRPr="003B399E">
              <w:rPr>
                <w:rFonts w:ascii="DIN Next LT Arabic Light" w:hAnsi="DIN Next LT Arabic Light" w:cs="DIN Next LT Arabic Light" w:hint="cs"/>
                <w:b/>
                <w:bCs/>
                <w:color w:val="00B050"/>
                <w:sz w:val="22"/>
                <w:szCs w:val="22"/>
                <w:rtl/>
              </w:rPr>
              <w:t xml:space="preserve"> </w:t>
            </w:r>
          </w:p>
        </w:tc>
        <w:tc>
          <w:tcPr>
            <w:tcW w:w="3541" w:type="dxa"/>
            <w:shd w:val="clear" w:color="auto" w:fill="auto"/>
          </w:tcPr>
          <w:p w14:paraId="341423B1" w14:textId="67745ADE" w:rsidR="00B96F39" w:rsidRPr="00BF1FB7" w:rsidRDefault="00402930" w:rsidP="00822ED8">
            <w:pPr>
              <w:ind w:left="27"/>
              <w:jc w:val="both"/>
              <w:rPr>
                <w:rFonts w:ascii="DIN Next LT Arabic Light" w:hAnsi="DIN Next LT Arabic Light" w:cs="DIN Next LT Arabic Light"/>
                <w:b/>
                <w:bCs/>
                <w:color w:val="000000" w:themeColor="text1"/>
                <w:sz w:val="22"/>
                <w:szCs w:val="22"/>
                <w:rtl/>
              </w:rPr>
            </w:pPr>
            <w:r w:rsidRPr="00822ED8">
              <w:rPr>
                <w:rFonts w:ascii="DIN Next LT Arabic Light" w:hAnsi="DIN Next LT Arabic Light" w:cs="DIN Next LT Arabic Light"/>
                <w:sz w:val="22"/>
                <w:szCs w:val="22"/>
                <w:rtl/>
              </w:rPr>
              <w:t xml:space="preserve">تشكل بقرار من </w:t>
            </w:r>
            <w:r w:rsidRPr="00822ED8">
              <w:rPr>
                <w:rFonts w:ascii="DIN Next LT Arabic Light" w:hAnsi="DIN Next LT Arabic Light" w:cs="DIN Next LT Arabic Light" w:hint="eastAsia"/>
                <w:sz w:val="22"/>
                <w:szCs w:val="22"/>
                <w:rtl/>
              </w:rPr>
              <w:t>مجلس</w:t>
            </w:r>
            <w:r w:rsidRPr="00822ED8">
              <w:rPr>
                <w:rFonts w:ascii="DIN Next LT Arabic Light" w:hAnsi="DIN Next LT Arabic Light" w:cs="DIN Next LT Arabic Light"/>
                <w:sz w:val="22"/>
                <w:szCs w:val="22"/>
                <w:rtl/>
              </w:rPr>
              <w:t xml:space="preserve"> </w:t>
            </w:r>
            <w:r w:rsidRPr="00822ED8">
              <w:rPr>
                <w:rFonts w:ascii="DIN Next LT Arabic Light" w:hAnsi="DIN Next LT Arabic Light" w:cs="DIN Next LT Arabic Light" w:hint="eastAsia"/>
                <w:sz w:val="22"/>
                <w:szCs w:val="22"/>
                <w:rtl/>
              </w:rPr>
              <w:t>الإدارة</w:t>
            </w:r>
            <w:r w:rsidRPr="00822ED8">
              <w:rPr>
                <w:rFonts w:ascii="DIN Next LT Arabic Light" w:hAnsi="DIN Next LT Arabic Light" w:cs="DIN Next LT Arabic Light"/>
                <w:sz w:val="22"/>
                <w:szCs w:val="22"/>
                <w:rtl/>
              </w:rPr>
              <w:t xml:space="preserve"> لجنة مراجعة من غير أعضاء مجلس الإدارة التنفيذيين سواء من المساهمين أو من غيرهم</w:t>
            </w:r>
            <w:r w:rsidRPr="00822ED8">
              <w:rPr>
                <w:rFonts w:ascii="DIN Next LT Arabic Light" w:hAnsi="DIN Next LT Arabic Light" w:cs="DIN Next LT Arabic Light" w:hint="eastAsia"/>
                <w:sz w:val="22"/>
                <w:szCs w:val="22"/>
                <w:rtl/>
              </w:rPr>
              <w:t>،</w:t>
            </w:r>
            <w:r w:rsidRPr="00822ED8">
              <w:rPr>
                <w:rFonts w:ascii="DIN Next LT Arabic Light" w:hAnsi="DIN Next LT Arabic Light" w:cs="DIN Next LT Arabic Light"/>
                <w:sz w:val="22"/>
                <w:szCs w:val="22"/>
                <w:rtl/>
              </w:rPr>
              <w:t xml:space="preserve"> </w:t>
            </w:r>
            <w:r w:rsidRPr="00822ED8">
              <w:rPr>
                <w:rFonts w:ascii="DIN Next LT Arabic Light" w:hAnsi="DIN Next LT Arabic Light" w:cs="DIN Next LT Arabic Light" w:hint="eastAsia"/>
                <w:sz w:val="22"/>
                <w:szCs w:val="22"/>
                <w:rtl/>
              </w:rPr>
              <w:t>وأن</w:t>
            </w:r>
            <w:r w:rsidRPr="00822ED8">
              <w:rPr>
                <w:rFonts w:ascii="DIN Next LT Arabic Light" w:hAnsi="DIN Next LT Arabic Light" w:cs="DIN Next LT Arabic Light"/>
                <w:sz w:val="22"/>
                <w:szCs w:val="22"/>
                <w:rtl/>
              </w:rPr>
              <w:t xml:space="preserve"> </w:t>
            </w:r>
            <w:r w:rsidRPr="00822ED8">
              <w:rPr>
                <w:rFonts w:ascii="DIN Next LT Arabic Light" w:hAnsi="DIN Next LT Arabic Light" w:cs="DIN Next LT Arabic Light" w:hint="eastAsia"/>
                <w:sz w:val="22"/>
                <w:szCs w:val="22"/>
                <w:rtl/>
              </w:rPr>
              <w:t>يكون</w:t>
            </w:r>
            <w:r w:rsidRPr="00822ED8">
              <w:rPr>
                <w:rFonts w:ascii="DIN Next LT Arabic Light" w:hAnsi="DIN Next LT Arabic Light" w:cs="DIN Next LT Arabic Light"/>
                <w:sz w:val="22"/>
                <w:szCs w:val="22"/>
                <w:rtl/>
              </w:rPr>
              <w:t xml:space="preserve"> </w:t>
            </w:r>
            <w:r w:rsidRPr="00822ED8">
              <w:rPr>
                <w:rFonts w:ascii="DIN Next LT Arabic Light" w:hAnsi="DIN Next LT Arabic Light" w:cs="DIN Next LT Arabic Light" w:hint="eastAsia"/>
                <w:sz w:val="22"/>
                <w:szCs w:val="22"/>
                <w:rtl/>
              </w:rPr>
              <w:t>من</w:t>
            </w:r>
            <w:r w:rsidRPr="00822ED8">
              <w:rPr>
                <w:rFonts w:ascii="DIN Next LT Arabic Light" w:hAnsi="DIN Next LT Arabic Light" w:cs="DIN Next LT Arabic Light"/>
                <w:sz w:val="22"/>
                <w:szCs w:val="22"/>
                <w:rtl/>
              </w:rPr>
              <w:t xml:space="preserve"> </w:t>
            </w:r>
            <w:r w:rsidRPr="00822ED8">
              <w:rPr>
                <w:rFonts w:ascii="DIN Next LT Arabic Light" w:hAnsi="DIN Next LT Arabic Light" w:cs="DIN Next LT Arabic Light" w:hint="eastAsia"/>
                <w:sz w:val="22"/>
                <w:szCs w:val="22"/>
                <w:rtl/>
              </w:rPr>
              <w:t>بينهم</w:t>
            </w:r>
            <w:r w:rsidRPr="00822ED8">
              <w:rPr>
                <w:rFonts w:ascii="DIN Next LT Arabic Light" w:hAnsi="DIN Next LT Arabic Light" w:cs="DIN Next LT Arabic Light"/>
                <w:sz w:val="22"/>
                <w:szCs w:val="22"/>
                <w:rtl/>
              </w:rPr>
              <w:t xml:space="preserve"> </w:t>
            </w:r>
            <w:r w:rsidRPr="00822ED8">
              <w:rPr>
                <w:rFonts w:ascii="DIN Next LT Arabic Light" w:hAnsi="DIN Next LT Arabic Light" w:cs="DIN Next LT Arabic Light" w:hint="eastAsia"/>
                <w:sz w:val="22"/>
                <w:szCs w:val="22"/>
                <w:rtl/>
              </w:rPr>
              <w:t>مختص</w:t>
            </w:r>
            <w:r w:rsidRPr="00822ED8">
              <w:rPr>
                <w:rFonts w:ascii="DIN Next LT Arabic Light" w:hAnsi="DIN Next LT Arabic Light" w:cs="DIN Next LT Arabic Light"/>
                <w:sz w:val="22"/>
                <w:szCs w:val="22"/>
                <w:rtl/>
              </w:rPr>
              <w:t xml:space="preserve"> </w:t>
            </w:r>
            <w:r w:rsidRPr="00822ED8">
              <w:rPr>
                <w:rFonts w:ascii="DIN Next LT Arabic Light" w:hAnsi="DIN Next LT Arabic Light" w:cs="DIN Next LT Arabic Light" w:hint="eastAsia"/>
                <w:sz w:val="22"/>
                <w:szCs w:val="22"/>
                <w:rtl/>
              </w:rPr>
              <w:t>بالشؤون</w:t>
            </w:r>
            <w:r w:rsidRPr="00822ED8">
              <w:rPr>
                <w:rFonts w:ascii="DIN Next LT Arabic Light" w:hAnsi="DIN Next LT Arabic Light" w:cs="DIN Next LT Arabic Light"/>
                <w:sz w:val="22"/>
                <w:szCs w:val="22"/>
                <w:rtl/>
              </w:rPr>
              <w:t xml:space="preserve"> </w:t>
            </w:r>
            <w:r w:rsidRPr="00822ED8">
              <w:rPr>
                <w:rFonts w:ascii="DIN Next LT Arabic Light" w:hAnsi="DIN Next LT Arabic Light" w:cs="DIN Next LT Arabic Light" w:hint="eastAsia"/>
                <w:sz w:val="22"/>
                <w:szCs w:val="22"/>
                <w:rtl/>
              </w:rPr>
              <w:t>المالية</w:t>
            </w:r>
            <w:r w:rsidRPr="00822ED8">
              <w:rPr>
                <w:rFonts w:ascii="DIN Next LT Arabic Light" w:hAnsi="DIN Next LT Arabic Light" w:cs="DIN Next LT Arabic Light"/>
                <w:sz w:val="22"/>
                <w:szCs w:val="22"/>
                <w:rtl/>
              </w:rPr>
              <w:t xml:space="preserve"> </w:t>
            </w:r>
            <w:r w:rsidRPr="00822ED8">
              <w:rPr>
                <w:rFonts w:ascii="DIN Next LT Arabic Light" w:hAnsi="DIN Next LT Arabic Light" w:cs="DIN Next LT Arabic Light" w:hint="eastAsia"/>
                <w:sz w:val="22"/>
                <w:szCs w:val="22"/>
                <w:rtl/>
              </w:rPr>
              <w:t>والمحاسبية</w:t>
            </w:r>
            <w:r w:rsidRPr="00822ED8">
              <w:rPr>
                <w:rFonts w:ascii="DIN Next LT Arabic Light" w:hAnsi="DIN Next LT Arabic Light" w:cs="DIN Next LT Arabic Light"/>
                <w:sz w:val="22"/>
                <w:szCs w:val="22"/>
                <w:rtl/>
              </w:rPr>
              <w:t>، على ألا يقل عدد أعضائها عن ثلاثة ولا يزيد على خمسة، وأن تحدد في القرار مهمات اللجنة وضوابط عملها، ومكافآت أعضائها</w:t>
            </w:r>
            <w:r w:rsidR="000B5CE6" w:rsidRPr="00822ED8">
              <w:rPr>
                <w:rFonts w:ascii="DIN Next LT Arabic Light" w:hAnsi="DIN Next LT Arabic Light" w:cs="DIN Next LT Arabic Light"/>
                <w:sz w:val="22"/>
                <w:szCs w:val="22"/>
                <w:rtl/>
              </w:rPr>
              <w:t>.</w:t>
            </w:r>
            <w:r w:rsidRPr="00822ED8" w:rsidDel="00402930">
              <w:rPr>
                <w:rFonts w:ascii="DIN Next LT Arabic Light" w:hAnsi="DIN Next LT Arabic Light" w:cs="DIN Next LT Arabic Light"/>
                <w:sz w:val="22"/>
                <w:szCs w:val="22"/>
                <w:rtl/>
              </w:rPr>
              <w:t xml:space="preserve"> </w:t>
            </w:r>
          </w:p>
        </w:tc>
      </w:tr>
      <w:tr w:rsidR="00BF1FB7" w:rsidRPr="00BF1FB7" w14:paraId="0E497455" w14:textId="77777777" w:rsidTr="0049047C">
        <w:trPr>
          <w:trHeight w:val="983"/>
        </w:trPr>
        <w:tc>
          <w:tcPr>
            <w:tcW w:w="452" w:type="dxa"/>
          </w:tcPr>
          <w:p w14:paraId="015E0290"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33009375" w14:textId="10CC1C15"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(39) نصاب اجتماع اللجنة</w:t>
            </w:r>
          </w:p>
          <w:p w14:paraId="611C2ED3" w14:textId="5F7DD4C1" w:rsidR="00BF1FB7" w:rsidRPr="00BF1FB7" w:rsidRDefault="00BF1FB7" w:rsidP="00BF1FB7">
            <w:pPr>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يشترط لصحة اجتماع لجنة المراجعة حضور أغلبية أعضائها، وتصدر قراراتها بأغلبية أصوات الحاضرين، وعند تساوي الأصوات يرجح الجانب الذي صوت مع رئيس اللجنة.</w:t>
            </w:r>
          </w:p>
        </w:tc>
        <w:tc>
          <w:tcPr>
            <w:tcW w:w="1559" w:type="dxa"/>
            <w:shd w:val="clear" w:color="auto" w:fill="auto"/>
          </w:tcPr>
          <w:p w14:paraId="113D3FF4" w14:textId="1F48D679" w:rsidR="00BF1FB7" w:rsidRPr="003B399E" w:rsidRDefault="00E3066E" w:rsidP="00BF1FB7">
            <w:pPr>
              <w:ind w:left="27"/>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 (</w:t>
            </w:r>
            <w:r w:rsidR="0049047C" w:rsidRPr="003B399E">
              <w:rPr>
                <w:rFonts w:ascii="DIN Next LT Arabic Light" w:hAnsi="DIN Next LT Arabic Light" w:cs="DIN Next LT Arabic Light" w:hint="cs"/>
                <w:b/>
                <w:bCs/>
                <w:color w:val="00B050"/>
                <w:sz w:val="22"/>
                <w:szCs w:val="22"/>
                <w:rtl/>
              </w:rPr>
              <w:t>مادة اختياريه يجوز اضافتها</w:t>
            </w:r>
            <w:r w:rsidRPr="003B399E">
              <w:rPr>
                <w:rFonts w:ascii="DIN Next LT Arabic Light" w:hAnsi="DIN Next LT Arabic Light" w:cs="DIN Next LT Arabic Light" w:hint="cs"/>
                <w:b/>
                <w:bCs/>
                <w:color w:val="00B050"/>
                <w:sz w:val="22"/>
                <w:szCs w:val="22"/>
                <w:rtl/>
              </w:rPr>
              <w:t>)</w:t>
            </w:r>
          </w:p>
        </w:tc>
        <w:tc>
          <w:tcPr>
            <w:tcW w:w="3541" w:type="dxa"/>
            <w:shd w:val="clear" w:color="auto" w:fill="auto"/>
          </w:tcPr>
          <w:p w14:paraId="75CB2B4F" w14:textId="524104DC" w:rsidR="00BF1FB7" w:rsidRPr="00BF1FB7" w:rsidRDefault="000B5CE6" w:rsidP="0049047C">
            <w:pPr>
              <w:ind w:left="27"/>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يشترط لصحة اجتماع لجنة المراجعة حضور أغلبية أعضائها، وتصدر قراراتها بأغلبية أصوات الحاضرين، وعند تساوي الأصوات يرجح الجانب الذي صوت مع رئيس اللجنة</w:t>
            </w:r>
            <w:r w:rsidR="00226B77">
              <w:rPr>
                <w:rFonts w:ascii="DIN Next LT Arabic Light" w:hAnsi="DIN Next LT Arabic Light" w:cs="DIN Next LT Arabic Light" w:hint="cs"/>
                <w:color w:val="000000" w:themeColor="text1"/>
                <w:sz w:val="22"/>
                <w:szCs w:val="22"/>
                <w:rtl/>
              </w:rPr>
              <w:t>.</w:t>
            </w:r>
            <w:r w:rsidRPr="00BF1FB7" w:rsidDel="000B5CE6">
              <w:rPr>
                <w:rFonts w:ascii="DIN Next LT Arabic Light" w:hAnsi="DIN Next LT Arabic Light" w:cs="DIN Next LT Arabic Light"/>
                <w:color w:val="000000" w:themeColor="text1"/>
                <w:sz w:val="22"/>
                <w:szCs w:val="22"/>
                <w:rtl/>
              </w:rPr>
              <w:t xml:space="preserve"> </w:t>
            </w:r>
          </w:p>
        </w:tc>
      </w:tr>
      <w:tr w:rsidR="00BF1FB7" w:rsidRPr="00BF1FB7" w14:paraId="3E3059FA" w14:textId="77777777" w:rsidTr="0049047C">
        <w:trPr>
          <w:trHeight w:val="983"/>
        </w:trPr>
        <w:tc>
          <w:tcPr>
            <w:tcW w:w="452" w:type="dxa"/>
          </w:tcPr>
          <w:p w14:paraId="03366DCC"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5FF8AD86" w14:textId="0E94F2E1"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(40) إختصاصات اللجنة</w:t>
            </w:r>
          </w:p>
          <w:p w14:paraId="05AC7600" w14:textId="02D51F3F" w:rsidR="00BF1FB7" w:rsidRPr="00BF1FB7" w:rsidRDefault="00BF1FB7" w:rsidP="00BF1FB7">
            <w:pPr>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تختص لجنة المراجعة بالمراقبة على أعمال الشركة، ولها في سبيل ذلك حق الاطلاع على سجلاتها ووثائقها وطلب أي ايضاح أو بيان من أعضاء مجلس الإدارة أو الإدارة التنفيذية، ويجوز لها أن تطلب من مجلس الإدارة دعوة الجمعية العامة للشركة للانعقاد إذا أعاق مجلس الإدارة عملها أو تعرضت الشركة لأضرار أو خسائر جسيمة.</w:t>
            </w:r>
          </w:p>
        </w:tc>
        <w:tc>
          <w:tcPr>
            <w:tcW w:w="1559" w:type="dxa"/>
            <w:shd w:val="clear" w:color="auto" w:fill="auto"/>
          </w:tcPr>
          <w:p w14:paraId="4437955F" w14:textId="58EC6ECA" w:rsidR="00BF1FB7" w:rsidRPr="003B399E" w:rsidRDefault="00E3066E" w:rsidP="00BF1FB7">
            <w:pPr>
              <w:ind w:left="27"/>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 (</w:t>
            </w:r>
            <w:r w:rsidR="0049047C" w:rsidRPr="003B399E">
              <w:rPr>
                <w:rFonts w:ascii="DIN Next LT Arabic Light" w:hAnsi="DIN Next LT Arabic Light" w:cs="DIN Next LT Arabic Light" w:hint="cs"/>
                <w:b/>
                <w:bCs/>
                <w:color w:val="00B050"/>
                <w:sz w:val="22"/>
                <w:szCs w:val="22"/>
                <w:rtl/>
              </w:rPr>
              <w:t>مادة اختياريه يجوز اضافتها</w:t>
            </w:r>
            <w:r w:rsidRPr="003B399E">
              <w:rPr>
                <w:rFonts w:ascii="DIN Next LT Arabic Light" w:hAnsi="DIN Next LT Arabic Light" w:cs="DIN Next LT Arabic Light" w:hint="cs"/>
                <w:b/>
                <w:bCs/>
                <w:color w:val="00B050"/>
                <w:sz w:val="22"/>
                <w:szCs w:val="22"/>
                <w:rtl/>
              </w:rPr>
              <w:t>)</w:t>
            </w:r>
            <w:r w:rsidR="0049047C" w:rsidRPr="003B399E">
              <w:rPr>
                <w:rFonts w:ascii="DIN Next LT Arabic Light" w:hAnsi="DIN Next LT Arabic Light" w:cs="DIN Next LT Arabic Light" w:hint="cs"/>
                <w:b/>
                <w:bCs/>
                <w:color w:val="00B050"/>
                <w:sz w:val="22"/>
                <w:szCs w:val="22"/>
                <w:rtl/>
              </w:rPr>
              <w:t xml:space="preserve"> </w:t>
            </w:r>
          </w:p>
        </w:tc>
        <w:tc>
          <w:tcPr>
            <w:tcW w:w="3541" w:type="dxa"/>
            <w:shd w:val="clear" w:color="auto" w:fill="auto"/>
          </w:tcPr>
          <w:p w14:paraId="236A4045" w14:textId="5F212DC8" w:rsidR="00BF1FB7" w:rsidRPr="00BF1FB7" w:rsidRDefault="000B5CE6" w:rsidP="0049047C">
            <w:pPr>
              <w:ind w:left="27"/>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تختص لجنة المراجعة بالمراقبة على أعمال الشركة، ولها في سبيل ذلك حق الاطلاع على سجلاتها ووثائقها وطلب أي ايضاح أو بيان من أعضاء مجلس الإدارة أو الإدارة التنفيذية، ويجوز لها أن تطلب من مجلس الإدارة دعوة الجمعية العامة للشركة للانعقاد إذا أعاق مجلس الإدارة عملها أو تعرضت الشركة لأضرار أو خسائر جسيمة.</w:t>
            </w:r>
          </w:p>
        </w:tc>
      </w:tr>
      <w:tr w:rsidR="00BF1FB7" w:rsidRPr="00BF1FB7" w14:paraId="5E79A288" w14:textId="77777777" w:rsidTr="0049047C">
        <w:trPr>
          <w:trHeight w:val="983"/>
        </w:trPr>
        <w:tc>
          <w:tcPr>
            <w:tcW w:w="452" w:type="dxa"/>
          </w:tcPr>
          <w:p w14:paraId="6B60F858"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7B5D15FE" w14:textId="5A1ED1BC"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(41) تقارير اللجنة</w:t>
            </w:r>
          </w:p>
          <w:p w14:paraId="349813B1" w14:textId="64E9BA78" w:rsidR="00BF1FB7" w:rsidRPr="00BF1FB7" w:rsidRDefault="00BF1FB7" w:rsidP="00BF1FB7">
            <w:pPr>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 xml:space="preserve">على لجنة المراجعة النظر في القوائم المالية للشركة والتقارير والملحوظات التي يقدمها مراجع الحسابات، وإبداء مرئياتهم حيالها إن وجدت، وعليها كذلك إعداد تقرير عن رأيها في شأن مدى كفاية نظام الرقابة الداخلية في الشركة وعما قامت به من أعمال أخرى تدخل في نطاق اختصاصها. وعلى مجلس الإدارة أن يودع نسخاً كافية من هذا التقرير في مركز الشركة </w:t>
            </w:r>
            <w:r w:rsidRPr="00BF1FB7">
              <w:rPr>
                <w:rFonts w:ascii="DIN Next LT Arabic Light" w:hAnsi="DIN Next LT Arabic Light" w:cs="DIN Next LT Arabic Light"/>
                <w:color w:val="000000" w:themeColor="text1"/>
                <w:sz w:val="22"/>
                <w:szCs w:val="22"/>
                <w:rtl/>
              </w:rPr>
              <w:lastRenderedPageBreak/>
              <w:t>الرئيس قبل موعد انعقاد الجمعية العامة بـ (واحد وعشرين) يوماً على الأقل، لتزويد كل من رغب من المساهمين بنسخة منه. ويتلى التقرير أثناء انعقاد الجمعية.</w:t>
            </w:r>
          </w:p>
        </w:tc>
        <w:tc>
          <w:tcPr>
            <w:tcW w:w="1559" w:type="dxa"/>
            <w:shd w:val="clear" w:color="auto" w:fill="auto"/>
          </w:tcPr>
          <w:p w14:paraId="4938499D" w14:textId="4858B1A1" w:rsidR="00BF1FB7" w:rsidRPr="003B399E" w:rsidRDefault="00E3066E" w:rsidP="00BF1FB7">
            <w:pPr>
              <w:ind w:left="27"/>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lastRenderedPageBreak/>
              <w:t>لم يتغير (</w:t>
            </w:r>
            <w:r w:rsidR="0049047C" w:rsidRPr="003B399E">
              <w:rPr>
                <w:rFonts w:ascii="DIN Next LT Arabic Light" w:hAnsi="DIN Next LT Arabic Light" w:cs="DIN Next LT Arabic Light" w:hint="cs"/>
                <w:b/>
                <w:bCs/>
                <w:color w:val="00B050"/>
                <w:sz w:val="22"/>
                <w:szCs w:val="22"/>
                <w:rtl/>
              </w:rPr>
              <w:t>مادة اختياريه يجوز اضافتها</w:t>
            </w:r>
            <w:r w:rsidRPr="003B399E">
              <w:rPr>
                <w:rFonts w:ascii="DIN Next LT Arabic Light" w:hAnsi="DIN Next LT Arabic Light" w:cs="DIN Next LT Arabic Light" w:hint="cs"/>
                <w:b/>
                <w:bCs/>
                <w:color w:val="00B050"/>
                <w:sz w:val="22"/>
                <w:szCs w:val="22"/>
                <w:rtl/>
              </w:rPr>
              <w:t>)</w:t>
            </w:r>
          </w:p>
        </w:tc>
        <w:tc>
          <w:tcPr>
            <w:tcW w:w="3541" w:type="dxa"/>
            <w:shd w:val="clear" w:color="auto" w:fill="auto"/>
          </w:tcPr>
          <w:p w14:paraId="0F6CDD7C" w14:textId="3C2D6EC0" w:rsidR="000B5CE6" w:rsidRPr="00BF1FB7" w:rsidRDefault="000B5CE6" w:rsidP="00226B77">
            <w:pPr>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 xml:space="preserve">على لجنة المراجعة النظر في القوائم المالية للشركة والتقارير والملحوظات التي يقدمها مراجع الحسابات، وإبداء مرئياتهم حيالها إن وجدت، وعليها كذلك إعداد تقرير عن رأيها </w:t>
            </w:r>
            <w:r w:rsidRPr="00BF1FB7">
              <w:rPr>
                <w:rFonts w:ascii="DIN Next LT Arabic Light" w:hAnsi="DIN Next LT Arabic Light" w:cs="DIN Next LT Arabic Light"/>
                <w:color w:val="000000" w:themeColor="text1"/>
                <w:sz w:val="22"/>
                <w:szCs w:val="22"/>
                <w:rtl/>
              </w:rPr>
              <w:lastRenderedPageBreak/>
              <w:t>في شأن مدى كفاية نظام الرقابة الداخلية في الشركة وعما قامت به من أعمال أخرى تدخل في نطاق اختصاصها. وعلى مجلس الإدارة أن يودع نسخاً كافية من هذا التقرير في مركز الشركة الرئيس قبل موعد انعقاد الجمعية العامة بـ (واحد وعشرين) يوماً على الأقل، لتزويد كل من رغب من المساهمين بنسخة منه. ويتلى التقرير أثناء انعقاد الجمعية</w:t>
            </w:r>
          </w:p>
        </w:tc>
      </w:tr>
      <w:tr w:rsidR="00BF1FB7" w:rsidRPr="00BF1FB7" w14:paraId="3B4D7C09" w14:textId="77777777" w:rsidTr="0049047C">
        <w:trPr>
          <w:trHeight w:val="983"/>
        </w:trPr>
        <w:tc>
          <w:tcPr>
            <w:tcW w:w="452" w:type="dxa"/>
          </w:tcPr>
          <w:p w14:paraId="4220121E"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269C3FC9" w14:textId="0224355E" w:rsidR="00BF1FB7" w:rsidRPr="00BF1FB7" w:rsidRDefault="00BF1FB7" w:rsidP="00BF1FB7">
            <w:pPr>
              <w:ind w:left="720" w:hanging="720"/>
              <w:jc w:val="center"/>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الباب السادس – مراجع الحسابات</w:t>
            </w:r>
          </w:p>
          <w:p w14:paraId="5347C5AE" w14:textId="7B860A1C"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(42) تعيين مراجع الحسابات</w:t>
            </w:r>
          </w:p>
          <w:p w14:paraId="5496E31B" w14:textId="046F0049" w:rsidR="00BF1FB7" w:rsidRPr="00BF1FB7" w:rsidRDefault="00BF1FB7" w:rsidP="00BF1FB7">
            <w:pPr>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يجب أن يكون للشركة مراجع حسابات (أو أكثر) من بين  مراجعي الحسابات المرخص لهم بالعمل في المملكة تعينه الجمعية العامة العادية سنوياً، وتحدد مكافآته ومدة عمله، ويجوز لها إعادة تعيينه، وفق الضوابط التي تحدد ما الأنظمة والتعليمات ذات الصلة، ويجوز للجمعية في كل وقت تغييره مع عدم الإخلال بحقه في التعويض إذا وقع التغيير في وقت غير مناسب أو لسبب غير مشروع.</w:t>
            </w:r>
          </w:p>
        </w:tc>
        <w:tc>
          <w:tcPr>
            <w:tcW w:w="1559" w:type="dxa"/>
            <w:shd w:val="clear" w:color="auto" w:fill="auto"/>
          </w:tcPr>
          <w:p w14:paraId="3B937620" w14:textId="5A842BE7"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auto"/>
          </w:tcPr>
          <w:p w14:paraId="23277202" w14:textId="2F38B1B5" w:rsidR="00BF1FB7" w:rsidRPr="00BF1FB7" w:rsidRDefault="00EB03F7" w:rsidP="0049047C">
            <w:pPr>
              <w:ind w:left="27"/>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يجب أن يكون للشركة مراجع حسابات (أو أكثر) من بين  مراجعي الحسابات المرخص لهم بالعمل في المملكة تعينه الجمعية العامة العادية سنوياً، وتحدد مكافآته ومدة عمله، ويجوز لها إعادة تعيينه، وفق الضوابط التي تحدد ما الأنظمة والتعليمات ذات الصلة، ويجوز للجمعية في كل وقت تغييره مع عدم الإخلال بحقه في التعويض إذا وقع التغيير في وقت غير مناسب أو لسبب غير مشروع.</w:t>
            </w:r>
          </w:p>
        </w:tc>
      </w:tr>
      <w:tr w:rsidR="00BF1FB7" w:rsidRPr="00BF1FB7" w14:paraId="2DB321D8" w14:textId="77777777" w:rsidTr="0049047C">
        <w:trPr>
          <w:trHeight w:val="983"/>
        </w:trPr>
        <w:tc>
          <w:tcPr>
            <w:tcW w:w="452" w:type="dxa"/>
          </w:tcPr>
          <w:p w14:paraId="09B67892"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4C261DB4" w14:textId="6363E0DD"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(43) صلاحيات مراجع الحسابات وإلتزاماته</w:t>
            </w:r>
          </w:p>
          <w:p w14:paraId="36F8F671" w14:textId="77777777" w:rsidR="00BF1FB7" w:rsidRPr="00BF1FB7" w:rsidRDefault="00BF1FB7" w:rsidP="00BF1FB7">
            <w:pPr>
              <w:jc w:val="both"/>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لمراجع الحسابات في أي وقت حق الاطلاع على دفاتر الشركة وسجلاتها وغير ذلك من الوثائق، وله أيضاً أن يطلب البيانات والإيضاحات التي يرى ضرورة الحصول عليها، ليتحقق من موجودات الشركة والتزاماتها وغير ذلك مما يدخل في نطاق عمله. وعلى رئيس مجلس الإدارة أن يمكنه من أداء واجبه، وإذا صادف مراجع الحسابات صعوبة في هذا الشأن أثبت ذلك في تقرير يقدم إلى مجلس الإدارة. فإذا لم ييسر المجلس عمل مراجع الحسابات، وجب عليه أن يطلب من مجلس الإدارة دعوة الجمعية العامة العادية للنظر في الأمر.</w:t>
            </w:r>
          </w:p>
          <w:p w14:paraId="33DEFBC3" w14:textId="77777777" w:rsidR="00BF1FB7" w:rsidRPr="00BF1FB7" w:rsidRDefault="00BF1FB7" w:rsidP="00BF1FB7">
            <w:pPr>
              <w:jc w:val="both"/>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 xml:space="preserve">على مراجع الحسابات أن يقدم إلى الجمعية العامة العادية السنوية تقريراً يعد وفقاً لمعايير المراجعة المتعارف عليها يضمنه موقف الشركة من تمكينه من الحصول على البيانات والإيضاحات التي طلبها، وما يكون قد تبين له من مخالفات لأحكام </w:t>
            </w:r>
            <w:r w:rsidRPr="00BF1FB7">
              <w:rPr>
                <w:rFonts w:ascii="DIN Next LT Arabic Light" w:hAnsi="DIN Next LT Arabic Light" w:cs="DIN Next LT Arabic Light"/>
                <w:color w:val="000000" w:themeColor="text1"/>
                <w:sz w:val="22"/>
                <w:szCs w:val="22"/>
                <w:rtl/>
              </w:rPr>
              <w:lastRenderedPageBreak/>
              <w:t>نظام الشركات أو أحكام هذا النظام ورأيه في مدى عدالة القوائم المالية للشركة. ويتلو مراجع الحسابات تقريره في الجمعية العامة.</w:t>
            </w:r>
          </w:p>
          <w:p w14:paraId="007FC251" w14:textId="77777777" w:rsidR="00BF1FB7" w:rsidRPr="00BF1FB7" w:rsidRDefault="00BF1FB7" w:rsidP="00BF1FB7">
            <w:pPr>
              <w:jc w:val="both"/>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لا يجوز لمراجع الحسابات أن يفشي إلى المساهمين في غير الجمعية العامة أو إلى الغير ما وقف عليه من أسرار الشركة بسبب قيامه بعمله، وإلا وجب عزله فضلاً عن مطالبته بالتعويض، ويكون مراجع الحسابات مسؤولاً عن تعويض الضرر الذي يصيب الشركة أو المساهمين أو الغير بسبب الأخطاء التي تقع منه في أداء عمله. وإذا تعدد المراجعون واشتركوا في الخطأ كانوا مسؤولين بالتضامن.</w:t>
            </w:r>
          </w:p>
          <w:p w14:paraId="5F1C8755" w14:textId="32A7BA27" w:rsidR="00BF1FB7" w:rsidRPr="00BF1FB7" w:rsidRDefault="00BF1FB7" w:rsidP="00BF1FB7">
            <w:pPr>
              <w:jc w:val="both"/>
              <w:rPr>
                <w:rFonts w:ascii="DIN Next LT Arabic Light" w:hAnsi="DIN Next LT Arabic Light" w:cs="DIN Next LT Arabic Light"/>
                <w:b/>
                <w:bCs/>
                <w:color w:val="000000" w:themeColor="text1"/>
                <w:sz w:val="22"/>
                <w:szCs w:val="22"/>
                <w:rtl/>
              </w:rPr>
            </w:pPr>
          </w:p>
        </w:tc>
        <w:tc>
          <w:tcPr>
            <w:tcW w:w="1559" w:type="dxa"/>
            <w:shd w:val="clear" w:color="auto" w:fill="auto"/>
          </w:tcPr>
          <w:p w14:paraId="64809F51" w14:textId="7FD1D92B"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lastRenderedPageBreak/>
              <w:t>لم يتغير</w:t>
            </w:r>
          </w:p>
        </w:tc>
        <w:tc>
          <w:tcPr>
            <w:tcW w:w="3541" w:type="dxa"/>
            <w:shd w:val="clear" w:color="auto" w:fill="auto"/>
          </w:tcPr>
          <w:p w14:paraId="1242A362" w14:textId="77777777" w:rsidR="000E0ED6" w:rsidRPr="00BF1FB7" w:rsidRDefault="000E0ED6" w:rsidP="000E0ED6">
            <w:pPr>
              <w:jc w:val="both"/>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 xml:space="preserve">لمراجع الحسابات في أي وقت حق الاطلاع على دفاتر الشركة وسجلاتها وغير ذلك من الوثائق، وله أيضاً أن يطلب البيانات والإيضاحات التي يرى ضرورة الحصول عليها، ليتحقق من موجودات الشركة والتزاماتها وغير ذلك مما يدخل في نطاق عمله. وعلى رئيس مجلس الإدارة أن يمكنه من أداء واجبه، وإذا صادف مراجع الحسابات صعوبة </w:t>
            </w:r>
            <w:r w:rsidRPr="00BF1FB7">
              <w:rPr>
                <w:rFonts w:ascii="DIN Next LT Arabic Light" w:hAnsi="DIN Next LT Arabic Light" w:cs="DIN Next LT Arabic Light"/>
                <w:color w:val="000000" w:themeColor="text1"/>
                <w:sz w:val="22"/>
                <w:szCs w:val="22"/>
                <w:rtl/>
              </w:rPr>
              <w:lastRenderedPageBreak/>
              <w:t>في هذا الشأن أثبت ذلك في تقرير يقدم إلى مجلس الإدارة. فإذا لم ييسر المجلس عمل مراجع الحسابات، وجب عليه أن يطلب من مجلس الإدارة دعوة الجمعية العامة العادية للنظر في الأمر.</w:t>
            </w:r>
          </w:p>
          <w:p w14:paraId="2182AC70" w14:textId="77777777" w:rsidR="000E0ED6" w:rsidRPr="00BF1FB7" w:rsidRDefault="000E0ED6" w:rsidP="000E0ED6">
            <w:pPr>
              <w:jc w:val="both"/>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على مراجع الحسابات أن يقدم إلى الجمعية العامة العادية السنوية تقريراً يعد وفقاً لمعايير المراجعة المتعارف عليها يضمنه موقف الشركة من تمكينه من الحصول على البيانات والإيضاحات التي طلبها، وما يكون قد تبين له من مخالفات لأحكام نظام الشركات أو أحكام هذا النظام ورأيه في مدى عدالة القوائم المالية للشركة. ويتلو مراجع الحسابات تقريره في الجمعية العامة.</w:t>
            </w:r>
          </w:p>
          <w:p w14:paraId="2D1E0341" w14:textId="77777777" w:rsidR="000E0ED6" w:rsidRPr="00BF1FB7" w:rsidRDefault="000E0ED6" w:rsidP="000E0ED6">
            <w:pPr>
              <w:jc w:val="both"/>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لا يجوز لمراجع الحسابات أن يفشي إلى المساهمين في غير الجمعية العامة أو إلى الغير ما وقف عليه من أسرار الشركة بسبب قيامه بعمله، وإلا وجب عزله فضلاً عن مطالبته بالتعويض، ويكون مراجع الحسابات مسؤولاً عن تعويض الضرر الذي يصيب الشركة أو المساهمين أو الغير بسبب الأخطاء التي تقع منه في أداء عمله. وإذا تعدد المراجعون واشتركوا في الخطأ كانوا مسؤولين بالتضامن.</w:t>
            </w:r>
          </w:p>
          <w:p w14:paraId="356CE5A8" w14:textId="40F6124F" w:rsidR="00BF1FB7" w:rsidRPr="00BF1FB7" w:rsidRDefault="00BF1FB7" w:rsidP="00BF1FB7">
            <w:pPr>
              <w:ind w:left="27"/>
              <w:rPr>
                <w:rFonts w:ascii="DIN Next LT Arabic Light" w:hAnsi="DIN Next LT Arabic Light" w:cs="DIN Next LT Arabic Light"/>
                <w:b/>
                <w:bCs/>
                <w:color w:val="000000" w:themeColor="text1"/>
                <w:sz w:val="22"/>
                <w:szCs w:val="22"/>
                <w:rtl/>
              </w:rPr>
            </w:pPr>
          </w:p>
        </w:tc>
      </w:tr>
      <w:tr w:rsidR="00BF1FB7" w:rsidRPr="00BF1FB7" w14:paraId="050514E4" w14:textId="77777777" w:rsidTr="0049047C">
        <w:trPr>
          <w:trHeight w:val="983"/>
        </w:trPr>
        <w:tc>
          <w:tcPr>
            <w:tcW w:w="452" w:type="dxa"/>
          </w:tcPr>
          <w:p w14:paraId="7A0878A7"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2EFF1D36" w14:textId="383C3D4D" w:rsidR="00BF1FB7" w:rsidRPr="00BF1FB7" w:rsidRDefault="00BF1FB7" w:rsidP="00BF1FB7">
            <w:pPr>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(45) الوثائق المالية</w:t>
            </w:r>
          </w:p>
          <w:p w14:paraId="20D15305" w14:textId="02EEEE1D" w:rsidR="00BF1FB7" w:rsidRPr="00BF1FB7" w:rsidRDefault="00BF1FB7" w:rsidP="00BF1FB7">
            <w:pPr>
              <w:pStyle w:val="ListParagraph"/>
              <w:numPr>
                <w:ilvl w:val="0"/>
                <w:numId w:val="7"/>
              </w:numPr>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يجب على مجلس الإدارة في نهاية كل سنة مالية للشركة أن يعد القوائم المالية للشركة وتقريراً عن نشاطها ومركزها المالي عن السنة المالية المنقضية، ويضمّن هذا التقرير الطريقة التي المقترحة لتوزيع الأرباح. ويضع المجلس هذه الوثائق تحت تصرف مراجع الحسابات قبل الموعد المحدد لانعقاد الجمعية العامة بخمسة وأربعين يوماً على الأقل.</w:t>
            </w:r>
          </w:p>
          <w:p w14:paraId="251FF4F0" w14:textId="08FA183F" w:rsidR="00BF1FB7" w:rsidRPr="00BF1FB7" w:rsidRDefault="00BF1FB7" w:rsidP="00BF1FB7">
            <w:pPr>
              <w:pStyle w:val="ListParagraph"/>
              <w:numPr>
                <w:ilvl w:val="0"/>
                <w:numId w:val="7"/>
              </w:numPr>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يجب أن يوقع رئيس مجلس إدارة الشركة ورئيسها التنفيذي ومديرها المالي الوثائق المشار إليها في الفقرة (1) من هذه المادة، وتودع نسخ منها في مركز الشركة الرئيس تحت تصرف المساهمين قبل الموعد المحدد لانعقاد الجمعية العامة بـ (واحد وعشرين) يوماً على الأقل.</w:t>
            </w:r>
          </w:p>
          <w:p w14:paraId="366F2CB3" w14:textId="46794644" w:rsidR="00BF1FB7" w:rsidRPr="00BF1FB7" w:rsidRDefault="00BF1FB7" w:rsidP="00BF1FB7">
            <w:pPr>
              <w:pStyle w:val="ListParagraph"/>
              <w:numPr>
                <w:ilvl w:val="0"/>
                <w:numId w:val="7"/>
              </w:numPr>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على رئيس مجلس الإدارة أن يزود المساهمين بالقوائم المالية للشركة، وتقرير مجلس الإدارة، وتقرير مراجع الحسابات، مالم تنشر في صحيفة يومية توزع في مركز الشركة الرئيس. وعليه أيضاً أن يرسل صورة من هذه الوثائق إلى الوزارة (وزارة التجارة)، وذلك قبل تاريخ انعقاد الجمعية العامة بخمسة عشر يوماً على الأقل.</w:t>
            </w:r>
          </w:p>
        </w:tc>
        <w:tc>
          <w:tcPr>
            <w:tcW w:w="1559" w:type="dxa"/>
            <w:shd w:val="clear" w:color="auto" w:fill="auto"/>
          </w:tcPr>
          <w:p w14:paraId="62129323" w14:textId="3DD75AB3"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auto"/>
          </w:tcPr>
          <w:p w14:paraId="59C8C45C" w14:textId="77777777" w:rsidR="003F174E" w:rsidRPr="00226B77" w:rsidRDefault="003F174E" w:rsidP="00226B77">
            <w:pPr>
              <w:pStyle w:val="ListParagraph"/>
              <w:numPr>
                <w:ilvl w:val="0"/>
                <w:numId w:val="39"/>
              </w:numPr>
              <w:rPr>
                <w:rFonts w:ascii="DIN Next LT Arabic Light" w:hAnsi="DIN Next LT Arabic Light" w:cs="DIN Next LT Arabic Light"/>
                <w:color w:val="000000" w:themeColor="text1"/>
                <w:sz w:val="22"/>
                <w:szCs w:val="22"/>
                <w:rtl/>
              </w:rPr>
            </w:pPr>
            <w:r w:rsidRPr="00226B77">
              <w:rPr>
                <w:rFonts w:ascii="DIN Next LT Arabic Light" w:hAnsi="DIN Next LT Arabic Light" w:cs="DIN Next LT Arabic Light"/>
                <w:color w:val="000000" w:themeColor="text1"/>
                <w:sz w:val="22"/>
                <w:szCs w:val="22"/>
                <w:rtl/>
              </w:rPr>
              <w:t>يجب على مجلس الإدارة في نهاية كل سنة مالية للشركة أن يعد القوائم المالية للشركة وتقريراً عن نشاطها ومركزها المالي عن السنة المالية المنقضية، ويضمّن هذا التقرير الطريقة التي المقترحة لتوزيع الأرباح. ويضع المجلس هذه الوثائق تحت تصرف مراجع الحسابات قبل الموعد المحدد لانعقاد الجمعية العامة بخمسة وأربعين يوماً على الأقل.</w:t>
            </w:r>
          </w:p>
          <w:p w14:paraId="0621EB7F" w14:textId="77777777" w:rsidR="003F174E" w:rsidRPr="00226B77" w:rsidRDefault="003F174E" w:rsidP="00226B77">
            <w:pPr>
              <w:pStyle w:val="ListParagraph"/>
              <w:numPr>
                <w:ilvl w:val="0"/>
                <w:numId w:val="39"/>
              </w:numPr>
              <w:rPr>
                <w:rFonts w:ascii="DIN Next LT Arabic Light" w:hAnsi="DIN Next LT Arabic Light" w:cs="DIN Next LT Arabic Light"/>
                <w:color w:val="000000" w:themeColor="text1"/>
                <w:sz w:val="22"/>
                <w:szCs w:val="22"/>
                <w:rtl/>
              </w:rPr>
            </w:pPr>
            <w:r w:rsidRPr="00226B77">
              <w:rPr>
                <w:rFonts w:ascii="DIN Next LT Arabic Light" w:hAnsi="DIN Next LT Arabic Light" w:cs="DIN Next LT Arabic Light"/>
                <w:color w:val="000000" w:themeColor="text1"/>
                <w:sz w:val="22"/>
                <w:szCs w:val="22"/>
                <w:rtl/>
              </w:rPr>
              <w:t>يجب أن يوقع رئيس مجلس إدارة الشركة ورئيسها التنفيذي ومديرها المالي الوثائق المشار إليها في الفقرة (1) من هذه المادة، وتودع نسخ منها في مركز الشركة الرئيس تحت تصرف المساهمين قبل الموعد المحدد لانعقاد الجمعية العامة بـ (واحد وعشرين) يوماً على الأقل.</w:t>
            </w:r>
          </w:p>
          <w:p w14:paraId="7DA383D2" w14:textId="04D13563" w:rsidR="00BF1FB7" w:rsidRPr="00226B77" w:rsidRDefault="003F174E" w:rsidP="00226B77">
            <w:pPr>
              <w:pStyle w:val="ListParagraph"/>
              <w:numPr>
                <w:ilvl w:val="0"/>
                <w:numId w:val="39"/>
              </w:numPr>
              <w:rPr>
                <w:rFonts w:ascii="DIN Next LT Arabic Light" w:hAnsi="DIN Next LT Arabic Light" w:cs="DIN Next LT Arabic Light"/>
                <w:b/>
                <w:bCs/>
                <w:color w:val="000000" w:themeColor="text1"/>
                <w:sz w:val="22"/>
                <w:szCs w:val="22"/>
                <w:rtl/>
              </w:rPr>
            </w:pPr>
            <w:r w:rsidRPr="00226B77">
              <w:rPr>
                <w:rFonts w:ascii="DIN Next LT Arabic Light" w:hAnsi="DIN Next LT Arabic Light" w:cs="DIN Next LT Arabic Light"/>
                <w:color w:val="000000" w:themeColor="text1"/>
                <w:sz w:val="22"/>
                <w:szCs w:val="22"/>
                <w:rtl/>
              </w:rPr>
              <w:t>على رئيس مجلس الإدارة أن يزود المساهمين بالقوائم المالية للشركة، وتقرير مجلس الإدارة، وتقرير مراجع الحسابات، مالم تنشر في صحيفة يومية توزع في مركز الشركة الرئيس. وعليه أيضاً أن يرسل صورة من هذه الوثائق إلى الوزارة (وزارة التجارة)، وذلك قبل تاريخ انعقاد الجمعية العامة بخمسة عشر يوماً على الأقل.</w:t>
            </w:r>
          </w:p>
        </w:tc>
      </w:tr>
      <w:tr w:rsidR="00BF1FB7" w:rsidRPr="00BF1FB7" w14:paraId="64CF1A71" w14:textId="77777777" w:rsidTr="0049047C">
        <w:trPr>
          <w:trHeight w:val="983"/>
        </w:trPr>
        <w:tc>
          <w:tcPr>
            <w:tcW w:w="452" w:type="dxa"/>
          </w:tcPr>
          <w:p w14:paraId="35B367AC"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78365137" w14:textId="32099C06"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(46) توزيع الأرباح</w:t>
            </w:r>
          </w:p>
          <w:p w14:paraId="30339ED9" w14:textId="44DE1828" w:rsidR="00BF1FB7" w:rsidRPr="00BF1FB7" w:rsidRDefault="00BF1FB7" w:rsidP="00BF1FB7">
            <w:pPr>
              <w:pStyle w:val="ListParagraph"/>
              <w:numPr>
                <w:ilvl w:val="0"/>
                <w:numId w:val="8"/>
              </w:numPr>
              <w:ind w:left="326" w:hanging="284"/>
              <w:jc w:val="lowKashida"/>
              <w:rPr>
                <w:rFonts w:ascii="DIN Next LT Arabic Light" w:hAnsi="DIN Next LT Arabic Light" w:cs="DIN Next LT Arabic Light"/>
                <w:b/>
                <w:bCs/>
                <w:color w:val="000000" w:themeColor="text1"/>
                <w:sz w:val="22"/>
                <w:szCs w:val="22"/>
              </w:rPr>
            </w:pPr>
            <w:r w:rsidRPr="00BF1FB7">
              <w:rPr>
                <w:rFonts w:ascii="DIN Next LT Arabic Light" w:hAnsi="DIN Next LT Arabic Light" w:cs="DIN Next LT Arabic Light"/>
                <w:color w:val="000000" w:themeColor="text1"/>
                <w:sz w:val="22"/>
                <w:szCs w:val="22"/>
                <w:rtl/>
              </w:rPr>
              <w:t>توزيع أرباح الشركة الصافية السنوية على الوجه الآتي:</w:t>
            </w:r>
          </w:p>
          <w:p w14:paraId="46D92995" w14:textId="34BDE9E5" w:rsidR="00BF1FB7" w:rsidRPr="00BF1FB7" w:rsidRDefault="00BF1FB7" w:rsidP="00BF1FB7">
            <w:pPr>
              <w:pStyle w:val="ListParagraph"/>
              <w:numPr>
                <w:ilvl w:val="0"/>
                <w:numId w:val="9"/>
              </w:num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يجنب (10%) من صافي الأرباح لتكوين الاحتياطي النظامي للشركة. ويجوز للجمعية العامة العادية وقف هذا التجنيب متى بلغ الاحتياطي المذكور (30%) من رأس المال المدفوع.</w:t>
            </w:r>
          </w:p>
          <w:p w14:paraId="46A7DB67" w14:textId="58A4F7F9" w:rsidR="00BF1FB7" w:rsidRPr="00BF1FB7" w:rsidRDefault="00BF1FB7" w:rsidP="00BF1FB7">
            <w:pPr>
              <w:pStyle w:val="ListParagraph"/>
              <w:numPr>
                <w:ilvl w:val="0"/>
                <w:numId w:val="9"/>
              </w:num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للجمعية العامة العادية بناء</w:t>
            </w:r>
            <w:r w:rsidR="00F74BA9">
              <w:rPr>
                <w:rFonts w:ascii="DIN Next LT Arabic Light" w:hAnsi="DIN Next LT Arabic Light" w:cs="DIN Next LT Arabic Light" w:hint="cs"/>
                <w:color w:val="000000" w:themeColor="text1"/>
                <w:sz w:val="22"/>
                <w:szCs w:val="22"/>
                <w:rtl/>
              </w:rPr>
              <w:t>ً</w:t>
            </w:r>
            <w:r w:rsidRPr="00BF1FB7">
              <w:rPr>
                <w:rFonts w:ascii="DIN Next LT Arabic Light" w:hAnsi="DIN Next LT Arabic Light" w:cs="DIN Next LT Arabic Light"/>
                <w:color w:val="000000" w:themeColor="text1"/>
                <w:sz w:val="22"/>
                <w:szCs w:val="22"/>
                <w:rtl/>
              </w:rPr>
              <w:t xml:space="preserve"> على اقتراح مجلس الإدارة أن تجنب نسبة معينة من صافي الأرباح لتكوين احتياطي اتفاقي وتخصيصه لغرض أو أغراض معينة.</w:t>
            </w:r>
          </w:p>
          <w:p w14:paraId="2AEA1C56" w14:textId="12EC5BA0" w:rsidR="00BF1FB7" w:rsidRPr="00BF1FB7" w:rsidRDefault="00BF1FB7" w:rsidP="00BF1FB7">
            <w:pPr>
              <w:pStyle w:val="ListParagraph"/>
              <w:numPr>
                <w:ilvl w:val="0"/>
                <w:numId w:val="9"/>
              </w:num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يوزع من الباقي بعد ذلك على المساهمين نسبة تعادل (5%) من رأس المال المدفوع، ويجوز للجمعية العامة توزيع نسبة أقل بناء</w:t>
            </w:r>
            <w:r w:rsidR="00F74BA9">
              <w:rPr>
                <w:rFonts w:ascii="DIN Next LT Arabic Light" w:hAnsi="DIN Next LT Arabic Light" w:cs="DIN Next LT Arabic Light" w:hint="cs"/>
                <w:color w:val="000000" w:themeColor="text1"/>
                <w:sz w:val="22"/>
                <w:szCs w:val="22"/>
                <w:rtl/>
              </w:rPr>
              <w:t>ً</w:t>
            </w:r>
            <w:r w:rsidRPr="00BF1FB7">
              <w:rPr>
                <w:rFonts w:ascii="DIN Next LT Arabic Light" w:hAnsi="DIN Next LT Arabic Light" w:cs="DIN Next LT Arabic Light"/>
                <w:color w:val="000000" w:themeColor="text1"/>
                <w:sz w:val="22"/>
                <w:szCs w:val="22"/>
                <w:rtl/>
              </w:rPr>
              <w:t xml:space="preserve"> على توصية مجلس الإدارة، ولا يجوز للجمعية العامة أن تقرر توزيع نسبة من الأرباح تزيد عما اقترحه مجلس الإدارة.</w:t>
            </w:r>
          </w:p>
          <w:p w14:paraId="292C2EB8" w14:textId="77777777" w:rsidR="00BF1FB7" w:rsidRPr="00BF1FB7" w:rsidRDefault="00BF1FB7" w:rsidP="00BF1FB7">
            <w:pPr>
              <w:pStyle w:val="ListParagraph"/>
              <w:numPr>
                <w:ilvl w:val="0"/>
                <w:numId w:val="9"/>
              </w:num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مع مراعاة الأحكام المقررة في المادة (21) من هذا النظام والمادة (76) من نظام الشركات، يجوز أن يخصص بعد ما تقدم نسبة لا تزيد عن (10%) من الباقي لمكافأة أعضاء مجلس الإدارة على أن يكون استحقاق هذه المكافأة متناسباً مع عدد الجلسات التي يحضرها العضو.</w:t>
            </w:r>
          </w:p>
          <w:p w14:paraId="6DBB8B0A" w14:textId="0FC6124F" w:rsidR="00BF1FB7" w:rsidRPr="00BF1FB7" w:rsidRDefault="00BF1FB7" w:rsidP="00BF1FB7">
            <w:pPr>
              <w:pStyle w:val="ListParagraph"/>
              <w:numPr>
                <w:ilvl w:val="0"/>
                <w:numId w:val="8"/>
              </w:numPr>
              <w:ind w:left="326" w:hanging="252"/>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 xml:space="preserve">يجوز للشركة توزيع أرباح مرحلية على المساهمين </w:t>
            </w:r>
            <w:r w:rsidR="00F74BA9">
              <w:rPr>
                <w:rFonts w:ascii="DIN Next LT Arabic Light" w:hAnsi="DIN Next LT Arabic Light" w:cs="DIN Next LT Arabic Light" w:hint="cs"/>
                <w:color w:val="000000" w:themeColor="text1"/>
                <w:sz w:val="22"/>
                <w:szCs w:val="22"/>
                <w:rtl/>
              </w:rPr>
              <w:t>بناءً</w:t>
            </w:r>
            <w:r w:rsidRPr="00BF1FB7">
              <w:rPr>
                <w:rFonts w:ascii="DIN Next LT Arabic Light" w:hAnsi="DIN Next LT Arabic Light" w:cs="DIN Next LT Arabic Light"/>
                <w:color w:val="000000" w:themeColor="text1"/>
                <w:sz w:val="22"/>
                <w:szCs w:val="22"/>
                <w:rtl/>
              </w:rPr>
              <w:t>ً على تفويض لمجلس الإدارة صادر بقرار من الجمعية العامة العادية ويجدد سنوياً، وفقاً للأنظمة والتعليمات الصادرة من الجهات المختصة.</w:t>
            </w:r>
          </w:p>
        </w:tc>
        <w:tc>
          <w:tcPr>
            <w:tcW w:w="1559" w:type="dxa"/>
            <w:shd w:val="clear" w:color="auto" w:fill="auto"/>
          </w:tcPr>
          <w:p w14:paraId="6B7E34FE" w14:textId="0DA346E2" w:rsidR="00B33F70" w:rsidRPr="00BF1FB7" w:rsidRDefault="0049047C" w:rsidP="003B399E">
            <w:pPr>
              <w:pStyle w:val="ListParagraph"/>
              <w:ind w:left="360"/>
              <w:jc w:val="center"/>
              <w:rPr>
                <w:rFonts w:ascii="DIN Next LT Arabic Light" w:hAnsi="DIN Next LT Arabic Light" w:cs="DIN Next LT Arabic Light"/>
                <w:color w:val="000000" w:themeColor="text1"/>
                <w:sz w:val="22"/>
                <w:szCs w:val="22"/>
              </w:rPr>
            </w:pPr>
            <w:r w:rsidRPr="003B399E">
              <w:rPr>
                <w:rFonts w:ascii="DIN Next LT Arabic Light" w:hAnsi="DIN Next LT Arabic Light" w:cs="DIN Next LT Arabic Light" w:hint="cs"/>
                <w:b/>
                <w:bCs/>
                <w:color w:val="FF0000"/>
                <w:sz w:val="22"/>
                <w:szCs w:val="22"/>
                <w:rtl/>
              </w:rPr>
              <w:t>تغير</w:t>
            </w:r>
            <w:r>
              <w:rPr>
                <w:rFonts w:ascii="DIN Next LT Arabic Light" w:hAnsi="DIN Next LT Arabic Light" w:cs="DIN Next LT Arabic Light" w:hint="cs"/>
                <w:color w:val="000000" w:themeColor="text1"/>
                <w:sz w:val="22"/>
                <w:szCs w:val="22"/>
                <w:rtl/>
              </w:rPr>
              <w:t xml:space="preserve"> </w:t>
            </w:r>
          </w:p>
          <w:p w14:paraId="4ED1E7C2" w14:textId="5927815C" w:rsidR="00B33F70" w:rsidRPr="00B33F70" w:rsidRDefault="00B33F70" w:rsidP="00BF1FB7">
            <w:pPr>
              <w:ind w:left="27"/>
              <w:rPr>
                <w:rFonts w:ascii="DIN Next LT Arabic Light" w:hAnsi="DIN Next LT Arabic Light" w:cs="DIN Next LT Arabic Light"/>
                <w:color w:val="000000" w:themeColor="text1"/>
                <w:sz w:val="22"/>
                <w:szCs w:val="22"/>
                <w:rtl/>
              </w:rPr>
            </w:pPr>
          </w:p>
        </w:tc>
        <w:tc>
          <w:tcPr>
            <w:tcW w:w="3541" w:type="dxa"/>
            <w:shd w:val="clear" w:color="auto" w:fill="auto"/>
          </w:tcPr>
          <w:p w14:paraId="00C87B12" w14:textId="77777777" w:rsidR="007411F1" w:rsidRDefault="007411F1" w:rsidP="008746D8">
            <w:pPr>
              <w:rPr>
                <w:rFonts w:ascii="DIN Next LT Arabic Light" w:hAnsi="DIN Next LT Arabic Light" w:cs="DIN Next LT Arabic Light"/>
                <w:color w:val="000000" w:themeColor="text1"/>
                <w:sz w:val="22"/>
                <w:szCs w:val="22"/>
                <w:rtl/>
              </w:rPr>
            </w:pPr>
            <w:r>
              <w:rPr>
                <w:rFonts w:ascii="DIN Next LT Arabic Light" w:hAnsi="DIN Next LT Arabic Light" w:cs="DIN Next LT Arabic Light" w:hint="cs"/>
                <w:color w:val="000000" w:themeColor="text1"/>
                <w:sz w:val="22"/>
                <w:szCs w:val="22"/>
                <w:rtl/>
              </w:rPr>
              <w:t xml:space="preserve">توزع أرباح الشركة الصافية السنوية على الوجه الآتي: </w:t>
            </w:r>
          </w:p>
          <w:p w14:paraId="036FFC5C" w14:textId="6FD6A121" w:rsidR="00C6516C" w:rsidRPr="0049047C" w:rsidRDefault="00F74BA9" w:rsidP="0049047C">
            <w:pPr>
              <w:pStyle w:val="ListParagraph"/>
              <w:numPr>
                <w:ilvl w:val="0"/>
                <w:numId w:val="38"/>
              </w:numPr>
              <w:jc w:val="both"/>
              <w:rPr>
                <w:rFonts w:ascii="DIN Next LT Arabic Light" w:hAnsi="DIN Next LT Arabic Light" w:cs="DIN Next LT Arabic Light"/>
                <w:color w:val="000000" w:themeColor="text1"/>
                <w:sz w:val="22"/>
                <w:szCs w:val="22"/>
                <w:rtl/>
              </w:rPr>
            </w:pPr>
            <w:r>
              <w:rPr>
                <w:rFonts w:ascii="DIN Next LT Arabic Light" w:hAnsi="DIN Next LT Arabic Light" w:cs="DIN Next LT Arabic Light" w:hint="cs"/>
                <w:color w:val="000000" w:themeColor="text1"/>
                <w:sz w:val="22"/>
                <w:szCs w:val="22"/>
                <w:rtl/>
              </w:rPr>
              <w:t xml:space="preserve">للشركة </w:t>
            </w:r>
            <w:r w:rsidR="00C6516C" w:rsidRPr="0049047C">
              <w:rPr>
                <w:rFonts w:ascii="DIN Next LT Arabic Light" w:hAnsi="DIN Next LT Arabic Light" w:cs="DIN Next LT Arabic Light"/>
                <w:color w:val="000000" w:themeColor="text1"/>
                <w:sz w:val="22"/>
                <w:szCs w:val="22"/>
                <w:rtl/>
              </w:rPr>
              <w:t xml:space="preserve"> أن تجنب (10%) من صافي الأرباح لتكوين احتياطي </w:t>
            </w:r>
            <w:r w:rsidR="008746D8" w:rsidRPr="0049047C">
              <w:rPr>
                <w:rFonts w:ascii="DIN Next LT Arabic Light" w:hAnsi="DIN Next LT Arabic Light" w:cs="DIN Next LT Arabic Light"/>
                <w:color w:val="000000" w:themeColor="text1"/>
                <w:sz w:val="22"/>
                <w:szCs w:val="22"/>
                <w:rtl/>
              </w:rPr>
              <w:t xml:space="preserve"> </w:t>
            </w:r>
            <w:r w:rsidR="00C6516C" w:rsidRPr="0049047C">
              <w:rPr>
                <w:rFonts w:ascii="DIN Next LT Arabic Light" w:hAnsi="DIN Next LT Arabic Light" w:cs="DIN Next LT Arabic Light"/>
                <w:color w:val="000000" w:themeColor="text1"/>
                <w:sz w:val="22"/>
                <w:szCs w:val="22"/>
                <w:rtl/>
              </w:rPr>
              <w:t xml:space="preserve">ويجوز للجمعية العامة العادية وقف هذا التجنيب </w:t>
            </w:r>
            <w:r w:rsidR="008746D8" w:rsidRPr="0049047C">
              <w:rPr>
                <w:rFonts w:ascii="DIN Next LT Arabic Light" w:hAnsi="DIN Next LT Arabic Light" w:cs="DIN Next LT Arabic Light" w:hint="eastAsia"/>
                <w:color w:val="000000" w:themeColor="text1"/>
                <w:sz w:val="22"/>
                <w:szCs w:val="22"/>
                <w:rtl/>
              </w:rPr>
              <w:t>بتوصية</w:t>
            </w:r>
            <w:r w:rsidR="008746D8" w:rsidRPr="0049047C">
              <w:rPr>
                <w:rFonts w:ascii="DIN Next LT Arabic Light" w:hAnsi="DIN Next LT Arabic Light" w:cs="DIN Next LT Arabic Light"/>
                <w:color w:val="000000" w:themeColor="text1"/>
                <w:sz w:val="22"/>
                <w:szCs w:val="22"/>
                <w:rtl/>
              </w:rPr>
              <w:t xml:space="preserve"> </w:t>
            </w:r>
            <w:r w:rsidR="008746D8" w:rsidRPr="0049047C">
              <w:rPr>
                <w:rFonts w:ascii="DIN Next LT Arabic Light" w:hAnsi="DIN Next LT Arabic Light" w:cs="DIN Next LT Arabic Light" w:hint="eastAsia"/>
                <w:color w:val="000000" w:themeColor="text1"/>
                <w:sz w:val="22"/>
                <w:szCs w:val="22"/>
                <w:rtl/>
              </w:rPr>
              <w:t>من</w:t>
            </w:r>
            <w:r w:rsidR="008746D8" w:rsidRPr="0049047C">
              <w:rPr>
                <w:rFonts w:ascii="DIN Next LT Arabic Light" w:hAnsi="DIN Next LT Arabic Light" w:cs="DIN Next LT Arabic Light"/>
                <w:color w:val="000000" w:themeColor="text1"/>
                <w:sz w:val="22"/>
                <w:szCs w:val="22"/>
                <w:rtl/>
              </w:rPr>
              <w:t xml:space="preserve"> </w:t>
            </w:r>
            <w:r w:rsidR="008746D8" w:rsidRPr="0049047C">
              <w:rPr>
                <w:rFonts w:ascii="DIN Next LT Arabic Light" w:hAnsi="DIN Next LT Arabic Light" w:cs="DIN Next LT Arabic Light" w:hint="eastAsia"/>
                <w:color w:val="000000" w:themeColor="text1"/>
                <w:sz w:val="22"/>
                <w:szCs w:val="22"/>
                <w:rtl/>
              </w:rPr>
              <w:t>مجلس</w:t>
            </w:r>
            <w:r w:rsidR="008746D8" w:rsidRPr="0049047C">
              <w:rPr>
                <w:rFonts w:ascii="DIN Next LT Arabic Light" w:hAnsi="DIN Next LT Arabic Light" w:cs="DIN Next LT Arabic Light"/>
                <w:color w:val="000000" w:themeColor="text1"/>
                <w:sz w:val="22"/>
                <w:szCs w:val="22"/>
                <w:rtl/>
              </w:rPr>
              <w:t xml:space="preserve"> </w:t>
            </w:r>
            <w:r w:rsidR="008746D8" w:rsidRPr="0049047C">
              <w:rPr>
                <w:rFonts w:ascii="DIN Next LT Arabic Light" w:hAnsi="DIN Next LT Arabic Light" w:cs="DIN Next LT Arabic Light" w:hint="eastAsia"/>
                <w:color w:val="000000" w:themeColor="text1"/>
                <w:sz w:val="22"/>
                <w:szCs w:val="22"/>
                <w:rtl/>
              </w:rPr>
              <w:t>الإدارة</w:t>
            </w:r>
            <w:r w:rsidR="00C6516C" w:rsidRPr="0049047C">
              <w:rPr>
                <w:rFonts w:ascii="DIN Next LT Arabic Light" w:hAnsi="DIN Next LT Arabic Light" w:cs="DIN Next LT Arabic Light"/>
                <w:color w:val="000000" w:themeColor="text1"/>
                <w:sz w:val="22"/>
                <w:szCs w:val="22"/>
                <w:rtl/>
              </w:rPr>
              <w:t>.</w:t>
            </w:r>
          </w:p>
          <w:p w14:paraId="3C7A1CD5" w14:textId="59F8B94A" w:rsidR="00C6516C" w:rsidRPr="00810CF2" w:rsidRDefault="00C6516C" w:rsidP="0049047C">
            <w:pPr>
              <w:pStyle w:val="ListParagraph"/>
              <w:numPr>
                <w:ilvl w:val="0"/>
                <w:numId w:val="38"/>
              </w:numPr>
              <w:jc w:val="both"/>
              <w:rPr>
                <w:rFonts w:ascii="DIN Next LT Arabic Light" w:hAnsi="DIN Next LT Arabic Light" w:cs="DIN Next LT Arabic Light"/>
                <w:color w:val="000000" w:themeColor="text1"/>
                <w:sz w:val="22"/>
                <w:szCs w:val="22"/>
                <w:rtl/>
              </w:rPr>
            </w:pPr>
            <w:r w:rsidRPr="0049047C">
              <w:rPr>
                <w:rFonts w:ascii="DIN Next LT Arabic Light" w:hAnsi="DIN Next LT Arabic Light" w:cs="DIN Next LT Arabic Light"/>
                <w:color w:val="000000" w:themeColor="text1"/>
                <w:sz w:val="22"/>
                <w:szCs w:val="22"/>
                <w:rtl/>
              </w:rPr>
              <w:t>يوزع من الباقي بعد ذلك على المساهمين نسبة تعادل (5%) من رأس المال المدفوع، ويجوز للجمعية العامة توزيع نسبة أقل بناء</w:t>
            </w:r>
            <w:r w:rsidR="00F74BA9">
              <w:rPr>
                <w:rFonts w:ascii="DIN Next LT Arabic Light" w:hAnsi="DIN Next LT Arabic Light" w:cs="DIN Next LT Arabic Light" w:hint="cs"/>
                <w:color w:val="000000" w:themeColor="text1"/>
                <w:sz w:val="22"/>
                <w:szCs w:val="22"/>
                <w:rtl/>
              </w:rPr>
              <w:t>ً</w:t>
            </w:r>
            <w:r w:rsidRPr="00810CF2">
              <w:rPr>
                <w:rFonts w:ascii="DIN Next LT Arabic Light" w:hAnsi="DIN Next LT Arabic Light" w:cs="DIN Next LT Arabic Light"/>
                <w:color w:val="000000" w:themeColor="text1"/>
                <w:sz w:val="22"/>
                <w:szCs w:val="22"/>
                <w:rtl/>
              </w:rPr>
              <w:t xml:space="preserve"> على توصية مجلس الإدارة، ولا يجوز للجمعية العامة أن تقرر توزيع نسبة من الأرباح تزيد عما اقترحه مجلس الإدارة.</w:t>
            </w:r>
          </w:p>
          <w:p w14:paraId="4F69B8FE" w14:textId="77777777" w:rsidR="00031E80" w:rsidRPr="00810CF2" w:rsidRDefault="00031E80" w:rsidP="0049047C">
            <w:pPr>
              <w:jc w:val="both"/>
              <w:rPr>
                <w:rFonts w:ascii="DIN Next LT Arabic Light" w:hAnsi="DIN Next LT Arabic Light" w:cs="DIN Next LT Arabic Light"/>
                <w:color w:val="000000" w:themeColor="text1"/>
                <w:sz w:val="22"/>
                <w:szCs w:val="22"/>
                <w:rtl/>
              </w:rPr>
            </w:pPr>
          </w:p>
          <w:p w14:paraId="6996F7BA" w14:textId="557FE87B" w:rsidR="00031E80" w:rsidRPr="00810CF2" w:rsidRDefault="007411F1" w:rsidP="0049047C">
            <w:pPr>
              <w:pStyle w:val="ListParagraph"/>
              <w:numPr>
                <w:ilvl w:val="0"/>
                <w:numId w:val="38"/>
              </w:numPr>
              <w:jc w:val="both"/>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 xml:space="preserve">مع مراعاة الأحكام المقررة في المادة (21) من هذا النظام والمادة (76) من نظام الشركات، </w:t>
            </w:r>
            <w:r w:rsidR="008746D8" w:rsidRPr="00810CF2">
              <w:rPr>
                <w:rFonts w:ascii="DIN Next LT Arabic Light" w:hAnsi="DIN Next LT Arabic Light" w:cs="DIN Next LT Arabic Light" w:hint="eastAsia"/>
                <w:color w:val="000000" w:themeColor="text1"/>
                <w:sz w:val="22"/>
                <w:szCs w:val="22"/>
                <w:rtl/>
              </w:rPr>
              <w:t>ي</w:t>
            </w:r>
            <w:r w:rsidR="00031E80" w:rsidRPr="00810CF2">
              <w:rPr>
                <w:rFonts w:ascii="DIN Next LT Arabic Light" w:hAnsi="DIN Next LT Arabic Light" w:cs="DIN Next LT Arabic Light"/>
                <w:color w:val="000000" w:themeColor="text1"/>
                <w:sz w:val="22"/>
                <w:szCs w:val="22"/>
                <w:rtl/>
              </w:rPr>
              <w:t>جوز أن يخصص بعد ما تقدم نسبة لا تزيد عن (10%) من الباقي لمكافأة أعضاء مجلس الإدارة على أن يكون استحقاق هذه المكافأة متناسباً مع عدد الجلسات التي يحضرها العضو.</w:t>
            </w:r>
          </w:p>
          <w:p w14:paraId="2731667A" w14:textId="282A16C9" w:rsidR="00C6516C" w:rsidRPr="00810CF2" w:rsidRDefault="00031E80" w:rsidP="0049047C">
            <w:pPr>
              <w:pStyle w:val="ListParagraph"/>
              <w:numPr>
                <w:ilvl w:val="0"/>
                <w:numId w:val="38"/>
              </w:numPr>
              <w:jc w:val="both"/>
              <w:rPr>
                <w:rFonts w:ascii="DIN Next LT Arabic Light" w:hAnsi="DIN Next LT Arabic Light" w:cs="DIN Next LT Arabic Light"/>
                <w:color w:val="000000" w:themeColor="text1"/>
                <w:sz w:val="22"/>
                <w:szCs w:val="22"/>
                <w:rtl/>
              </w:rPr>
            </w:pPr>
            <w:r w:rsidRPr="00810CF2">
              <w:rPr>
                <w:rFonts w:ascii="DIN Next LT Arabic Light" w:hAnsi="DIN Next LT Arabic Light" w:cs="DIN Next LT Arabic Light"/>
                <w:color w:val="000000" w:themeColor="text1"/>
                <w:sz w:val="22"/>
                <w:szCs w:val="22"/>
                <w:rtl/>
              </w:rPr>
              <w:t>يجوز للشركة توزيع أرباح مرحلية على المساهمين بنا</w:t>
            </w:r>
            <w:r w:rsidR="00F74BA9">
              <w:rPr>
                <w:rFonts w:ascii="DIN Next LT Arabic Light" w:hAnsi="DIN Next LT Arabic Light" w:cs="DIN Next LT Arabic Light" w:hint="cs"/>
                <w:color w:val="000000" w:themeColor="text1"/>
                <w:sz w:val="22"/>
                <w:szCs w:val="22"/>
                <w:rtl/>
              </w:rPr>
              <w:t xml:space="preserve">ءً </w:t>
            </w:r>
            <w:r w:rsidRPr="00810CF2">
              <w:rPr>
                <w:rFonts w:ascii="DIN Next LT Arabic Light" w:hAnsi="DIN Next LT Arabic Light" w:cs="DIN Next LT Arabic Light"/>
                <w:color w:val="000000" w:themeColor="text1"/>
                <w:sz w:val="22"/>
                <w:szCs w:val="22"/>
                <w:rtl/>
              </w:rPr>
              <w:t xml:space="preserve">على تفويض </w:t>
            </w:r>
            <w:r w:rsidRPr="00810CF2">
              <w:rPr>
                <w:rFonts w:ascii="DIN Next LT Arabic Light" w:hAnsi="DIN Next LT Arabic Light" w:cs="DIN Next LT Arabic Light"/>
                <w:color w:val="000000" w:themeColor="text1"/>
                <w:sz w:val="22"/>
                <w:szCs w:val="22"/>
                <w:rtl/>
              </w:rPr>
              <w:lastRenderedPageBreak/>
              <w:t>لمجلس الإدارة صادر بقرار من الجمعية العامة العادية ويجدد سنوياً، وفقاً للأنظمة والتعليمات الصادرة من الجهات المختصة.</w:t>
            </w:r>
          </w:p>
          <w:p w14:paraId="609B7849" w14:textId="77777777" w:rsidR="00C6516C" w:rsidRPr="00810CF2" w:rsidRDefault="00C6516C" w:rsidP="00C6516C">
            <w:pPr>
              <w:ind w:left="27"/>
              <w:rPr>
                <w:rFonts w:ascii="DIN Next LT Arabic Light" w:hAnsi="DIN Next LT Arabic Light" w:cs="DIN Next LT Arabic Light"/>
                <w:color w:val="000000" w:themeColor="text1"/>
                <w:sz w:val="22"/>
                <w:szCs w:val="22"/>
                <w:rtl/>
              </w:rPr>
            </w:pPr>
          </w:p>
          <w:p w14:paraId="65B4D152" w14:textId="43DC2BFF" w:rsidR="00C6516C" w:rsidRPr="00BF1FB7" w:rsidRDefault="00C6516C" w:rsidP="00BF1FB7">
            <w:pPr>
              <w:ind w:left="27"/>
              <w:rPr>
                <w:rFonts w:ascii="DIN Next LT Arabic Light" w:hAnsi="DIN Next LT Arabic Light" w:cs="DIN Next LT Arabic Light"/>
                <w:b/>
                <w:bCs/>
                <w:color w:val="000000" w:themeColor="text1"/>
                <w:sz w:val="22"/>
                <w:szCs w:val="22"/>
                <w:rtl/>
              </w:rPr>
            </w:pPr>
          </w:p>
        </w:tc>
      </w:tr>
      <w:tr w:rsidR="00BF1FB7" w:rsidRPr="00BF1FB7" w14:paraId="3B81AEBF" w14:textId="77777777" w:rsidTr="0049047C">
        <w:trPr>
          <w:trHeight w:val="983"/>
        </w:trPr>
        <w:tc>
          <w:tcPr>
            <w:tcW w:w="452" w:type="dxa"/>
          </w:tcPr>
          <w:p w14:paraId="2B3B1025"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7919AC00" w14:textId="3E9D14FD"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(47) إستحقاق الأرباح</w:t>
            </w:r>
          </w:p>
          <w:p w14:paraId="290E28DD" w14:textId="709E2B23" w:rsidR="00BF1FB7" w:rsidRPr="00BF1FB7" w:rsidRDefault="00BF1FB7" w:rsidP="00BF1FB7">
            <w:pPr>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يستحق المساهم حصته في الأرباح وفقاً لقرار الجمعية العامة الصادر في هذا الشأن، ويبين القرار تاريخ الاستحقاق وتاريخ التوزيع، وتكون أحقية الأرباح لمالكي الأسهم المسجلين في سجلات المساهمين في نهاية اليوم المحدد للاستحقاق. ويتعين على مجلس الإدارة تنفيذ قرار الجمعية العامة بشأن توزيع الأرباح على المساهمين المقيدين خلال مدة لا تزيد عن خمسة عشر يوماً من تاريخ استحقاق هذه الأرباح المحدد في قرار الجمعية، أو في قرار مجلس الإدارة بتوزيع أرباح مرحلية، بحسب الأحوال.</w:t>
            </w:r>
          </w:p>
        </w:tc>
        <w:tc>
          <w:tcPr>
            <w:tcW w:w="1559" w:type="dxa"/>
            <w:shd w:val="clear" w:color="auto" w:fill="auto"/>
          </w:tcPr>
          <w:p w14:paraId="1F427A22" w14:textId="7146664B"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00B050"/>
                <w:sz w:val="22"/>
                <w:szCs w:val="22"/>
                <w:rtl/>
              </w:rPr>
              <w:t>لم يتغير</w:t>
            </w:r>
          </w:p>
        </w:tc>
        <w:tc>
          <w:tcPr>
            <w:tcW w:w="3541" w:type="dxa"/>
            <w:shd w:val="clear" w:color="auto" w:fill="auto"/>
          </w:tcPr>
          <w:p w14:paraId="545427A4" w14:textId="20900767" w:rsidR="00BF1FB7" w:rsidRPr="00BF1FB7" w:rsidRDefault="00031E80" w:rsidP="0049047C">
            <w:pPr>
              <w:ind w:left="91"/>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يستحق المساهم حصته في الأرباح وفقاً لقرار الجمعية العامة الصادر في هذا الشأن</w:t>
            </w:r>
            <w:r w:rsidR="00CC76C6">
              <w:rPr>
                <w:rFonts w:ascii="DIN Next LT Arabic Light" w:hAnsi="DIN Next LT Arabic Light" w:cs="DIN Next LT Arabic Light" w:hint="cs"/>
                <w:color w:val="000000" w:themeColor="text1"/>
                <w:sz w:val="22"/>
                <w:szCs w:val="22"/>
                <w:rtl/>
              </w:rPr>
              <w:t xml:space="preserve"> بعد </w:t>
            </w:r>
            <w:r w:rsidR="00CC76C6" w:rsidRPr="00810CF2">
              <w:rPr>
                <w:rFonts w:ascii="DIN Next LT Arabic Light" w:hAnsi="DIN Next LT Arabic Light" w:cs="DIN Next LT Arabic Light" w:hint="eastAsia"/>
                <w:color w:val="000000" w:themeColor="text1"/>
                <w:sz w:val="22"/>
                <w:szCs w:val="22"/>
                <w:u w:val="single"/>
                <w:rtl/>
              </w:rPr>
              <w:t>خصم</w:t>
            </w:r>
            <w:r w:rsidR="00CC76C6" w:rsidRPr="00810CF2">
              <w:rPr>
                <w:rFonts w:ascii="DIN Next LT Arabic Light" w:hAnsi="DIN Next LT Arabic Light" w:cs="DIN Next LT Arabic Light"/>
                <w:color w:val="000000" w:themeColor="text1"/>
                <w:sz w:val="22"/>
                <w:szCs w:val="22"/>
                <w:u w:val="single"/>
                <w:rtl/>
              </w:rPr>
              <w:t xml:space="preserve"> </w:t>
            </w:r>
            <w:r w:rsidR="00CC76C6" w:rsidRPr="00810CF2">
              <w:rPr>
                <w:rFonts w:ascii="DIN Next LT Arabic Light" w:hAnsi="DIN Next LT Arabic Light" w:cs="DIN Next LT Arabic Light" w:hint="eastAsia"/>
                <w:color w:val="000000" w:themeColor="text1"/>
                <w:sz w:val="22"/>
                <w:szCs w:val="22"/>
                <w:u w:val="single"/>
                <w:rtl/>
              </w:rPr>
              <w:t>الاحتياطات</w:t>
            </w:r>
            <w:r w:rsidRPr="00BF1FB7">
              <w:rPr>
                <w:rFonts w:ascii="DIN Next LT Arabic Light" w:hAnsi="DIN Next LT Arabic Light" w:cs="DIN Next LT Arabic Light"/>
                <w:color w:val="000000" w:themeColor="text1"/>
                <w:sz w:val="22"/>
                <w:szCs w:val="22"/>
                <w:rtl/>
              </w:rPr>
              <w:t>، ويبين القرار تاريخ الاستحقاق وتاريخ التوزيع، وتكون أحقية الأرباح لمالكي الأسهم المسجلين في سجلات المساهمين في نهاية اليوم المحدد للاستحقاق. ويتعين على مجلس الإدارة تنفيذ قرار الجمعية العامة بشأن توزيع الأرباح على المساهمين المقيدين خلال مدة لا تزيد عن خمسة عشر يوماً من تاريخ استحقاق هذه الأرباح المحدد في قرار الجمعية، أو في قرار مجلس الإدارة بتوزيع أرباح مرحلية، بحسب الأحوال.</w:t>
            </w:r>
          </w:p>
        </w:tc>
      </w:tr>
      <w:tr w:rsidR="00BF1FB7" w:rsidRPr="00BF1FB7" w14:paraId="28C1CFED" w14:textId="77777777" w:rsidTr="0049047C">
        <w:trPr>
          <w:trHeight w:val="983"/>
        </w:trPr>
        <w:tc>
          <w:tcPr>
            <w:tcW w:w="452" w:type="dxa"/>
          </w:tcPr>
          <w:p w14:paraId="22F4B661"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73EB91CC" w14:textId="13E713F1"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(48) خسائر الشركة</w:t>
            </w:r>
          </w:p>
          <w:p w14:paraId="06B7084C" w14:textId="5BFC5BC8" w:rsidR="00BF1FB7" w:rsidRPr="00BF1FB7" w:rsidRDefault="00BF1FB7" w:rsidP="00BF1FB7">
            <w:pPr>
              <w:pStyle w:val="ListParagraph"/>
              <w:numPr>
                <w:ilvl w:val="0"/>
                <w:numId w:val="10"/>
              </w:numPr>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إذا بلغت خسائر الشركة نصف رأس المال المدفوع، في أي وقت خلال السنة المالية، وجب على أي مسؤول في الشركة أو مراجع الحسابات فور علمه بذلك إبلاع رئيس مجلس الإدارة، وعلى رئيس مجلس الإدارة إبلاغ أعضاء المجلس فوراً بذلك، وعلى مجلس الإدارة - خلال خمسة عشر يوماً من علمه بذلك – دعوة الجمعية العامة غير العادية للاجتماع خلال خمسة وأربعين يوماً من تاريخ علمه بالخسائر، لتقرر إما زيادة رأس مال الشركة أو تخفيضه - وفقا لأحكام نظام الشركات - وذلك إلى الحد الذي تنخفض معه نسبة الخسائر إلى ما دون نصف رأس المال المدفوع، أو حل الشركة قبل الأجل المحدد في هذا النظام.</w:t>
            </w:r>
          </w:p>
          <w:p w14:paraId="7BDBABAC" w14:textId="77BFF487" w:rsidR="00BF1FB7" w:rsidRPr="00BF1FB7" w:rsidRDefault="00BF1FB7" w:rsidP="00BF1FB7">
            <w:pPr>
              <w:pStyle w:val="ListParagraph"/>
              <w:numPr>
                <w:ilvl w:val="0"/>
                <w:numId w:val="10"/>
              </w:numPr>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lastRenderedPageBreak/>
              <w:t>تعد الشركة منقضية بقوة النظام إذا لم تجتمع الجمعية العامة غير العادية خلال المدة المحددة في الفقرة (1) من هذه المادة، أو إذا اجتمعت وتعذر عليها إصدار قرار في الموضوع، أو إذا قررت زيادة رأس المال وفق الأوضاع المقررة في هذه المادة ولم يتم الاكتتاب في كل زيادة رأس المال خلال تسعين يوماً من صدور قرار الجمعية بالزيادة.</w:t>
            </w:r>
          </w:p>
        </w:tc>
        <w:tc>
          <w:tcPr>
            <w:tcW w:w="1559" w:type="dxa"/>
            <w:shd w:val="clear" w:color="auto" w:fill="auto"/>
          </w:tcPr>
          <w:p w14:paraId="3555D282" w14:textId="475C71FA"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FF0000"/>
                <w:sz w:val="22"/>
                <w:szCs w:val="22"/>
                <w:rtl/>
              </w:rPr>
              <w:lastRenderedPageBreak/>
              <w:t>تغير</w:t>
            </w:r>
          </w:p>
        </w:tc>
        <w:tc>
          <w:tcPr>
            <w:tcW w:w="3541" w:type="dxa"/>
            <w:shd w:val="clear" w:color="auto" w:fill="auto"/>
          </w:tcPr>
          <w:p w14:paraId="5DFDC2E3" w14:textId="1389D774" w:rsidR="00CC76C6" w:rsidRPr="00CC76C6" w:rsidRDefault="00CC76C6" w:rsidP="0049047C">
            <w:pPr>
              <w:jc w:val="both"/>
              <w:rPr>
                <w:rFonts w:ascii="DIN Next LT Arabic Light" w:hAnsi="DIN Next LT Arabic Light" w:cs="DIN Next LT Arabic Light"/>
                <w:color w:val="000000" w:themeColor="text1"/>
                <w:sz w:val="22"/>
                <w:szCs w:val="22"/>
                <w:rtl/>
              </w:rPr>
            </w:pPr>
            <w:r w:rsidRPr="00CC76C6">
              <w:rPr>
                <w:rFonts w:ascii="DIN Next LT Arabic Light" w:hAnsi="DIN Next LT Arabic Light" w:cs="DIN Next LT Arabic Light"/>
                <w:color w:val="000000" w:themeColor="text1"/>
                <w:sz w:val="22"/>
                <w:szCs w:val="22"/>
                <w:rtl/>
              </w:rPr>
              <w:t xml:space="preserve">إذا بلغت خسائر الشركة نصف رأس المال </w:t>
            </w:r>
            <w:r w:rsidR="005F33DA">
              <w:rPr>
                <w:rFonts w:ascii="DIN Next LT Arabic Light" w:hAnsi="DIN Next LT Arabic Light" w:cs="DIN Next LT Arabic Light" w:hint="cs"/>
                <w:color w:val="000000" w:themeColor="text1"/>
                <w:sz w:val="22"/>
                <w:szCs w:val="22"/>
                <w:rtl/>
              </w:rPr>
              <w:t>المصدر</w:t>
            </w:r>
            <w:r w:rsidRPr="00CC76C6">
              <w:rPr>
                <w:rFonts w:ascii="DIN Next LT Arabic Light" w:hAnsi="DIN Next LT Arabic Light" w:cs="DIN Next LT Arabic Light"/>
                <w:color w:val="000000" w:themeColor="text1"/>
                <w:sz w:val="22"/>
                <w:szCs w:val="22"/>
                <w:rtl/>
              </w:rPr>
              <w:t xml:space="preserve">، وجب على أي مسؤول في الشركة أو مراجع الحسابات فور علمه بذلك إبلاع رئيس مجلس الإدارة، وعلى رئيس مجلس الإدارة إبلاغ أعضاء المجلس فوراً بذلك، وعلى مجلس الإدارة - خلال </w:t>
            </w:r>
            <w:r>
              <w:rPr>
                <w:rFonts w:ascii="DIN Next LT Arabic Light" w:hAnsi="DIN Next LT Arabic Light" w:cs="DIN Next LT Arabic Light" w:hint="cs"/>
                <w:color w:val="000000" w:themeColor="text1"/>
                <w:sz w:val="22"/>
                <w:szCs w:val="22"/>
                <w:rtl/>
              </w:rPr>
              <w:t xml:space="preserve">ستين </w:t>
            </w:r>
            <w:r w:rsidRPr="00CC76C6">
              <w:rPr>
                <w:rFonts w:ascii="DIN Next LT Arabic Light" w:hAnsi="DIN Next LT Arabic Light" w:cs="DIN Next LT Arabic Light"/>
                <w:color w:val="000000" w:themeColor="text1"/>
                <w:sz w:val="22"/>
                <w:szCs w:val="22"/>
                <w:rtl/>
              </w:rPr>
              <w:t>يوماً  من علمه بذلك – دعوة الجمعية العامة غير العادية للاجتماع خلال</w:t>
            </w:r>
            <w:r>
              <w:rPr>
                <w:rFonts w:ascii="DIN Next LT Arabic Light" w:hAnsi="DIN Next LT Arabic Light" w:cs="DIN Next LT Arabic Light" w:hint="cs"/>
                <w:color w:val="000000" w:themeColor="text1"/>
                <w:sz w:val="22"/>
                <w:szCs w:val="22"/>
                <w:rtl/>
              </w:rPr>
              <w:t xml:space="preserve"> مائة وثمانين</w:t>
            </w:r>
            <w:r w:rsidRPr="00CC76C6">
              <w:rPr>
                <w:rFonts w:ascii="DIN Next LT Arabic Light" w:hAnsi="DIN Next LT Arabic Light" w:cs="DIN Next LT Arabic Light"/>
                <w:color w:val="000000" w:themeColor="text1"/>
                <w:sz w:val="22"/>
                <w:szCs w:val="22"/>
                <w:rtl/>
              </w:rPr>
              <w:t xml:space="preserve"> يوماً من </w:t>
            </w:r>
            <w:r w:rsidRPr="00CC76C6">
              <w:rPr>
                <w:rFonts w:ascii="DIN Next LT Arabic Light" w:hAnsi="DIN Next LT Arabic Light" w:cs="DIN Next LT Arabic Light"/>
                <w:color w:val="000000" w:themeColor="text1"/>
                <w:sz w:val="22"/>
                <w:szCs w:val="22"/>
                <w:rtl/>
              </w:rPr>
              <w:lastRenderedPageBreak/>
              <w:t>تاريخ علمه بالخسائر، لتقرر إما زيادة رأس مال الشركة أو تخفيضه - وفقا لأحكام نظام الشركات - وذلك إلى الحد الذي تنخفض معه نسبة الخسائر إلى ما دون نصف رأس المال المدفوع، أو حل الشركة قبل الأجل المحدد في هذا النظام.</w:t>
            </w:r>
          </w:p>
          <w:p w14:paraId="387983CB" w14:textId="0AD284C5" w:rsidR="00BF1FB7" w:rsidRPr="00BF1FB7" w:rsidRDefault="00BF1FB7" w:rsidP="00BF1FB7">
            <w:pPr>
              <w:ind w:left="27"/>
              <w:rPr>
                <w:rFonts w:ascii="DIN Next LT Arabic Light" w:hAnsi="DIN Next LT Arabic Light" w:cs="DIN Next LT Arabic Light"/>
                <w:b/>
                <w:bCs/>
                <w:color w:val="000000" w:themeColor="text1"/>
                <w:sz w:val="22"/>
                <w:szCs w:val="22"/>
                <w:rtl/>
              </w:rPr>
            </w:pPr>
          </w:p>
        </w:tc>
      </w:tr>
      <w:tr w:rsidR="00BF1FB7" w:rsidRPr="00BF1FB7" w14:paraId="7483C0C4" w14:textId="77777777" w:rsidTr="0049047C">
        <w:trPr>
          <w:trHeight w:val="3350"/>
        </w:trPr>
        <w:tc>
          <w:tcPr>
            <w:tcW w:w="452" w:type="dxa"/>
          </w:tcPr>
          <w:p w14:paraId="6A021BC6"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7D8703FA" w14:textId="21057910" w:rsidR="00BF1FB7" w:rsidRPr="00BF1FB7" w:rsidRDefault="00BF1FB7" w:rsidP="00BF1FB7">
            <w:pPr>
              <w:ind w:left="720" w:hanging="720"/>
              <w:jc w:val="center"/>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الباب الثامن - المنازعات</w:t>
            </w:r>
          </w:p>
          <w:p w14:paraId="3FB099DD" w14:textId="65FA9B7E"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(49) دعوى المسؤولية</w:t>
            </w:r>
          </w:p>
          <w:p w14:paraId="0D7AA5BE" w14:textId="23449CFC" w:rsidR="00BF1FB7" w:rsidRPr="00BF1FB7" w:rsidRDefault="00BF1FB7" w:rsidP="00BF1FB7">
            <w:pPr>
              <w:autoSpaceDE w:val="0"/>
              <w:autoSpaceDN w:val="0"/>
              <w:adjustRightInd w:val="0"/>
              <w:jc w:val="both"/>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لكل مساهم الحق في رفع دعوى المسؤولية المقررة للشركة على أعضاء مجلس الإدارة إذا كان من شأن الخطأ الذي صدر منهم إلحاق ضرر خاص به. ولا يجوز للمساهم رفع الدعوى المذكورة إلا إذا كان حق الشركة في رفعها مازال قائماً. ويجب على المساهم أن يبلغ الشركة بعزمه على رفع الدعوى. مع قصر حقه على المطالبة بالتعويض عن الضرر الخاص الذي لحق به، ويجوز تحميل النفقات الآتية التي تكلفها المساهم لإقامة دعوى أياً كانت نتيجتها بالشروط الآتية</w:t>
            </w:r>
            <w:r w:rsidRPr="00BF1FB7">
              <w:rPr>
                <w:rFonts w:ascii="DIN Next LT Arabic Light" w:hAnsi="DIN Next LT Arabic Light" w:cs="DIN Next LT Arabic Light"/>
                <w:color w:val="000000" w:themeColor="text1"/>
                <w:sz w:val="22"/>
                <w:szCs w:val="22"/>
              </w:rPr>
              <w:t>:</w:t>
            </w:r>
          </w:p>
          <w:p w14:paraId="17C7D133" w14:textId="77777777" w:rsidR="00BF1FB7" w:rsidRPr="00BF1FB7" w:rsidRDefault="00BF1FB7" w:rsidP="00BF1FB7">
            <w:pPr>
              <w:pStyle w:val="ListParagraph"/>
              <w:numPr>
                <w:ilvl w:val="0"/>
                <w:numId w:val="11"/>
              </w:numPr>
              <w:ind w:left="468"/>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إذا أقام الدعوى بحسن نية</w:t>
            </w:r>
            <w:r w:rsidRPr="00BF1FB7">
              <w:rPr>
                <w:rFonts w:ascii="DIN Next LT Arabic Light" w:hAnsi="DIN Next LT Arabic Light" w:cs="DIN Next LT Arabic Light"/>
                <w:color w:val="000000" w:themeColor="text1"/>
                <w:sz w:val="22"/>
                <w:szCs w:val="22"/>
              </w:rPr>
              <w:t>.</w:t>
            </w:r>
          </w:p>
          <w:p w14:paraId="5943299C" w14:textId="77777777" w:rsidR="00BF1FB7" w:rsidRPr="00BF1FB7" w:rsidRDefault="00BF1FB7" w:rsidP="00BF1FB7">
            <w:pPr>
              <w:pStyle w:val="ListParagraph"/>
              <w:numPr>
                <w:ilvl w:val="0"/>
                <w:numId w:val="11"/>
              </w:numPr>
              <w:ind w:left="468"/>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إذا تقدم إلى الشركة بالسبب الذي من أجلة أقام الدعوى ولم يحصل على رد خلال ثلاثين يوماً</w:t>
            </w:r>
            <w:r w:rsidRPr="00BF1FB7">
              <w:rPr>
                <w:rFonts w:ascii="DIN Next LT Arabic Light" w:hAnsi="DIN Next LT Arabic Light" w:cs="DIN Next LT Arabic Light"/>
                <w:color w:val="000000" w:themeColor="text1"/>
                <w:sz w:val="22"/>
                <w:szCs w:val="22"/>
              </w:rPr>
              <w:t>.</w:t>
            </w:r>
          </w:p>
          <w:p w14:paraId="0617076E" w14:textId="2DDB8327" w:rsidR="00BF1FB7" w:rsidRPr="00BF1FB7" w:rsidRDefault="00BF1FB7" w:rsidP="00BF1FB7">
            <w:pPr>
              <w:pStyle w:val="ListParagraph"/>
              <w:numPr>
                <w:ilvl w:val="0"/>
                <w:numId w:val="11"/>
              </w:numPr>
              <w:ind w:left="468"/>
              <w:jc w:val="lowKashida"/>
              <w:rPr>
                <w:rFonts w:ascii="DIN Next LT Arabic Light" w:hAnsi="DIN Next LT Arabic Light" w:cs="DIN Next LT Arabic Light"/>
                <w:color w:val="000000" w:themeColor="text1"/>
                <w:sz w:val="22"/>
                <w:szCs w:val="22"/>
              </w:rPr>
            </w:pPr>
            <w:r w:rsidRPr="00BF1FB7">
              <w:rPr>
                <w:rFonts w:ascii="DIN Next LT Arabic Light" w:hAnsi="DIN Next LT Arabic Light" w:cs="DIN Next LT Arabic Light"/>
                <w:color w:val="000000" w:themeColor="text1"/>
                <w:sz w:val="22"/>
                <w:szCs w:val="22"/>
                <w:rtl/>
              </w:rPr>
              <w:t>إذا كان من مصلحة الشركة إقامة هذه الدعوى بناءً على حكم المادة (التاسعة والسبعين) من نظام الشركات</w:t>
            </w:r>
            <w:r w:rsidRPr="00BF1FB7">
              <w:rPr>
                <w:rFonts w:ascii="DIN Next LT Arabic Light" w:hAnsi="DIN Next LT Arabic Light" w:cs="DIN Next LT Arabic Light"/>
                <w:color w:val="000000" w:themeColor="text1"/>
                <w:sz w:val="22"/>
                <w:szCs w:val="22"/>
              </w:rPr>
              <w:t>.</w:t>
            </w:r>
          </w:p>
          <w:p w14:paraId="274403AB" w14:textId="4C62D1CA" w:rsidR="00BF1FB7" w:rsidRPr="00BF1FB7" w:rsidRDefault="00BF1FB7" w:rsidP="00BF1FB7">
            <w:pPr>
              <w:pStyle w:val="ListParagraph"/>
              <w:numPr>
                <w:ilvl w:val="0"/>
                <w:numId w:val="11"/>
              </w:numPr>
              <w:ind w:left="468"/>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أن تكون الدعوى قائمة على أساس صحيح</w:t>
            </w:r>
            <w:r w:rsidRPr="00BF1FB7">
              <w:rPr>
                <w:rFonts w:ascii="DIN Next LT Arabic Light" w:hAnsi="DIN Next LT Arabic Light" w:cs="DIN Next LT Arabic Light"/>
                <w:color w:val="000000" w:themeColor="text1"/>
                <w:sz w:val="22"/>
                <w:szCs w:val="22"/>
              </w:rPr>
              <w:t>.</w:t>
            </w:r>
          </w:p>
        </w:tc>
        <w:tc>
          <w:tcPr>
            <w:tcW w:w="1559" w:type="dxa"/>
            <w:shd w:val="clear" w:color="auto" w:fill="auto"/>
          </w:tcPr>
          <w:p w14:paraId="774D8C63" w14:textId="42679E96"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FF0000"/>
                <w:sz w:val="22"/>
                <w:szCs w:val="22"/>
                <w:rtl/>
              </w:rPr>
              <w:t>تغير</w:t>
            </w:r>
          </w:p>
        </w:tc>
        <w:tc>
          <w:tcPr>
            <w:tcW w:w="3541" w:type="dxa"/>
            <w:shd w:val="clear" w:color="auto" w:fill="auto"/>
          </w:tcPr>
          <w:p w14:paraId="19AF40BF" w14:textId="3DDDCE3B" w:rsidR="007411F1" w:rsidRPr="007411F1" w:rsidRDefault="00EB03F7" w:rsidP="0049047C">
            <w:pPr>
              <w:ind w:left="27"/>
              <w:jc w:val="both"/>
              <w:rPr>
                <w:rFonts w:ascii="Arial" w:hAnsi="Arial" w:cs="Arial"/>
                <w:sz w:val="21"/>
                <w:szCs w:val="21"/>
                <w:shd w:val="clear" w:color="auto" w:fill="FFFFFF"/>
                <w:rtl/>
              </w:rPr>
            </w:pPr>
            <w:r w:rsidRPr="0049047C">
              <w:rPr>
                <w:rFonts w:ascii="Arial" w:hAnsi="Arial" w:cs="Arial" w:hint="eastAsia"/>
                <w:sz w:val="21"/>
                <w:szCs w:val="21"/>
                <w:shd w:val="clear" w:color="auto" w:fill="FFFFFF"/>
                <w:rtl/>
              </w:rPr>
              <w:t>ل</w:t>
            </w:r>
            <w:r w:rsidR="007411F1" w:rsidRPr="007411F1">
              <w:rPr>
                <w:rFonts w:ascii="Arial" w:hAnsi="Arial" w:cs="Arial" w:hint="cs"/>
                <w:sz w:val="21"/>
                <w:szCs w:val="21"/>
                <w:shd w:val="clear" w:color="auto" w:fill="FFFFFF"/>
                <w:rtl/>
              </w:rPr>
              <w:t>ل</w:t>
            </w:r>
            <w:r w:rsidR="007E3D8E" w:rsidRPr="007411F1">
              <w:rPr>
                <w:rFonts w:ascii="Arial" w:hAnsi="Arial" w:cs="Arial" w:hint="cs"/>
                <w:sz w:val="21"/>
                <w:szCs w:val="21"/>
                <w:shd w:val="clear" w:color="auto" w:fill="FFFFFF"/>
                <w:rtl/>
              </w:rPr>
              <w:t>جمعية العامة</w:t>
            </w:r>
            <w:r w:rsidR="007411F1" w:rsidRPr="007411F1">
              <w:rPr>
                <w:rFonts w:ascii="Arial" w:hAnsi="Arial" w:cs="Arial" w:hint="cs"/>
                <w:sz w:val="21"/>
                <w:szCs w:val="21"/>
                <w:shd w:val="clear" w:color="auto" w:fill="FFFFFF"/>
                <w:rtl/>
              </w:rPr>
              <w:t xml:space="preserve"> الغير عادية</w:t>
            </w:r>
            <w:r w:rsidRPr="0049047C">
              <w:rPr>
                <w:rFonts w:ascii="Arial" w:hAnsi="Arial" w:cs="Arial"/>
                <w:sz w:val="21"/>
                <w:szCs w:val="21"/>
                <w:shd w:val="clear" w:color="auto" w:fill="FFFFFF"/>
                <w:rtl/>
              </w:rPr>
              <w:t xml:space="preserve"> </w:t>
            </w:r>
            <w:r w:rsidRPr="0049047C">
              <w:rPr>
                <w:rFonts w:ascii="Arial" w:hAnsi="Arial" w:cs="Arial" w:hint="eastAsia"/>
                <w:sz w:val="21"/>
                <w:szCs w:val="21"/>
                <w:shd w:val="clear" w:color="auto" w:fill="FFFFFF"/>
                <w:rtl/>
              </w:rPr>
              <w:t>الحق</w:t>
            </w:r>
            <w:r w:rsidRPr="0049047C">
              <w:rPr>
                <w:rFonts w:ascii="Arial" w:hAnsi="Arial" w:cs="Arial"/>
                <w:sz w:val="21"/>
                <w:szCs w:val="21"/>
                <w:shd w:val="clear" w:color="auto" w:fill="FFFFFF"/>
                <w:rtl/>
              </w:rPr>
              <w:t xml:space="preserve"> في رفع دعوى المسؤولية المقررة للشركة </w:t>
            </w:r>
            <w:r w:rsidRPr="0049047C">
              <w:rPr>
                <w:rFonts w:ascii="Arial" w:hAnsi="Arial" w:cs="Arial" w:hint="eastAsia"/>
                <w:sz w:val="21"/>
                <w:szCs w:val="21"/>
                <w:shd w:val="clear" w:color="auto" w:fill="FFFFFF"/>
                <w:rtl/>
              </w:rPr>
              <w:t>على</w:t>
            </w:r>
            <w:r w:rsidRPr="0049047C">
              <w:rPr>
                <w:rFonts w:ascii="Arial" w:hAnsi="Arial" w:cs="Arial"/>
                <w:sz w:val="21"/>
                <w:szCs w:val="21"/>
                <w:shd w:val="clear" w:color="auto" w:fill="FFFFFF"/>
                <w:rtl/>
              </w:rPr>
              <w:t xml:space="preserve"> أعضاء مجلس الإدارة </w:t>
            </w:r>
            <w:r w:rsidR="007411F1" w:rsidRPr="0049047C">
              <w:rPr>
                <w:rFonts w:ascii="Arial" w:hAnsi="Arial" w:cs="Arial"/>
                <w:sz w:val="21"/>
                <w:szCs w:val="21"/>
                <w:shd w:val="clear" w:color="auto" w:fill="FFFFFF"/>
              </w:rPr>
              <w:t> </w:t>
            </w:r>
            <w:r w:rsidR="007411F1" w:rsidRPr="0049047C">
              <w:rPr>
                <w:rFonts w:ascii="Arial" w:hAnsi="Arial" w:cs="Arial"/>
                <w:sz w:val="21"/>
                <w:szCs w:val="21"/>
                <w:shd w:val="clear" w:color="auto" w:fill="FFFFFF"/>
                <w:rtl/>
              </w:rPr>
              <w:t>والطعن ببطلان قرارات جمعيات المساهمين العامة والخاصة</w:t>
            </w:r>
          </w:p>
          <w:p w14:paraId="750FA6ED" w14:textId="4B482700" w:rsidR="00BF1FB7" w:rsidRPr="00BF1FB7" w:rsidRDefault="007411F1" w:rsidP="00BF1FB7">
            <w:pPr>
              <w:ind w:left="27"/>
              <w:rPr>
                <w:rFonts w:ascii="DIN Next LT Arabic Light" w:hAnsi="DIN Next LT Arabic Light" w:cs="DIN Next LT Arabic Light"/>
                <w:b/>
                <w:bCs/>
                <w:color w:val="000000" w:themeColor="text1"/>
                <w:sz w:val="22"/>
                <w:szCs w:val="22"/>
                <w:rtl/>
              </w:rPr>
            </w:pPr>
            <w:r w:rsidRPr="00BF1FB7" w:rsidDel="00EB03F7">
              <w:rPr>
                <w:rFonts w:ascii="DIN Next LT Arabic Light" w:hAnsi="DIN Next LT Arabic Light" w:cs="DIN Next LT Arabic Light"/>
                <w:color w:val="000000" w:themeColor="text1"/>
                <w:sz w:val="22"/>
                <w:szCs w:val="22"/>
                <w:rtl/>
              </w:rPr>
              <w:t xml:space="preserve"> </w:t>
            </w:r>
          </w:p>
        </w:tc>
      </w:tr>
      <w:tr w:rsidR="00BF1FB7" w:rsidRPr="00BF1FB7" w14:paraId="3B35B2F9" w14:textId="77777777" w:rsidTr="0049047C">
        <w:trPr>
          <w:trHeight w:val="983"/>
        </w:trPr>
        <w:tc>
          <w:tcPr>
            <w:tcW w:w="452" w:type="dxa"/>
          </w:tcPr>
          <w:p w14:paraId="3AB6DB4C" w14:textId="77777777" w:rsidR="00BF1FB7" w:rsidRPr="00BF1FB7" w:rsidRDefault="00BF1FB7" w:rsidP="00BF1FB7">
            <w:pPr>
              <w:pStyle w:val="ListParagraph"/>
              <w:numPr>
                <w:ilvl w:val="0"/>
                <w:numId w:val="37"/>
              </w:numPr>
              <w:ind w:left="360"/>
              <w:rPr>
                <w:rFonts w:ascii="DIN Next LT Arabic Light" w:hAnsi="DIN Next LT Arabic Light" w:cs="DIN Next LT Arabic Light"/>
                <w:b/>
                <w:bCs/>
                <w:color w:val="000000" w:themeColor="text1"/>
                <w:sz w:val="22"/>
                <w:szCs w:val="22"/>
                <w:rtl/>
              </w:rPr>
            </w:pPr>
          </w:p>
        </w:tc>
        <w:tc>
          <w:tcPr>
            <w:tcW w:w="9650" w:type="dxa"/>
            <w:shd w:val="clear" w:color="auto" w:fill="auto"/>
          </w:tcPr>
          <w:p w14:paraId="161FC2B1" w14:textId="6DF06746" w:rsidR="00BF1FB7" w:rsidRPr="00BF1FB7" w:rsidRDefault="00BF1FB7" w:rsidP="00BF1FB7">
            <w:pPr>
              <w:ind w:left="720" w:hanging="720"/>
              <w:jc w:val="center"/>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الباب التاسع - حل الشركة وتصفيتها</w:t>
            </w:r>
          </w:p>
          <w:p w14:paraId="5B7CB7AC" w14:textId="380BD9AF" w:rsidR="00BF1FB7" w:rsidRPr="00BF1FB7" w:rsidRDefault="00BF1FB7" w:rsidP="00BF1FB7">
            <w:pPr>
              <w:ind w:left="720" w:hanging="720"/>
              <w:jc w:val="lowKashida"/>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b/>
                <w:bCs/>
                <w:color w:val="000000" w:themeColor="text1"/>
                <w:sz w:val="22"/>
                <w:szCs w:val="22"/>
                <w:rtl/>
              </w:rPr>
              <w:t>مادة (50) انقضاء الشركة</w:t>
            </w:r>
          </w:p>
          <w:p w14:paraId="37934982" w14:textId="3D298F25" w:rsidR="00BF1FB7" w:rsidRPr="00BF1FB7" w:rsidRDefault="00BF1FB7" w:rsidP="00BF1FB7">
            <w:pPr>
              <w:jc w:val="lowKashida"/>
              <w:rPr>
                <w:rFonts w:ascii="DIN Next LT Arabic Light" w:hAnsi="DIN Next LT Arabic Light" w:cs="DIN Next LT Arabic Light"/>
                <w:color w:val="000000" w:themeColor="text1"/>
                <w:sz w:val="22"/>
                <w:szCs w:val="22"/>
                <w:rtl/>
              </w:rPr>
            </w:pPr>
            <w:r w:rsidRPr="00BF1FB7">
              <w:rPr>
                <w:rFonts w:ascii="DIN Next LT Arabic Light" w:hAnsi="DIN Next LT Arabic Light" w:cs="DIN Next LT Arabic Light"/>
                <w:color w:val="000000" w:themeColor="text1"/>
                <w:sz w:val="22"/>
                <w:szCs w:val="22"/>
                <w:rtl/>
              </w:rPr>
              <w:t>تدخل الشركة بمجرد انقضائها دور التصفية، وتحتفظ بالشخصية الاعتبارية بالقدر اللازم للتصفية، ويصدر قرار التصفية الاختيارية من الجمعية العامة غير العادية، ويجب أن يشتمل قرار التصفية على تعيين المصفي وتحديد سلطاته وأتعابه والقيود المفروضة على سلطاته والمدة الزمنية اللازمة للتصفية ويجب ألا تتجاوز مدة التصفية الاختيارية خمس سنوات ولا يجوز تمديدها لأكثر من ذلك إلا بأمر قضائي وتنتهي سلطة مجلس إدارة الشركة بحلها ومع ذلك يظل مجلس إدارة الشركة قائماً على إدارة الشركة ويعد بالنسبة إلى الغير في حكم المصفي إلى أن يعين المصفي وتبقى جمعيات المساهمين قائمة خلال مدة التصفية ويقتصر دورها على ممارسة اختصاصاتها التي لا تتعارض مع اختصاصات المصفي</w:t>
            </w:r>
            <w:r w:rsidRPr="00BF1FB7">
              <w:rPr>
                <w:rFonts w:ascii="DIN Next LT Arabic Light" w:hAnsi="DIN Next LT Arabic Light" w:cs="DIN Next LT Arabic Light"/>
                <w:color w:val="000000" w:themeColor="text1"/>
                <w:sz w:val="22"/>
                <w:szCs w:val="22"/>
              </w:rPr>
              <w:t>.</w:t>
            </w:r>
            <w:r w:rsidRPr="00BF1FB7">
              <w:rPr>
                <w:rFonts w:ascii="DIN Next LT Arabic Light" w:hAnsi="DIN Next LT Arabic Light" w:cs="DIN Next LT Arabic Light"/>
                <w:color w:val="000000" w:themeColor="text1"/>
                <w:sz w:val="22"/>
                <w:szCs w:val="22"/>
                <w:rtl/>
              </w:rPr>
              <w:t xml:space="preserve"> ويبقى للمساهم خلال مدة التصفية حق الاطلاع على وثائق الشركة المقرر له في عقد تأسيس الشركة أو في هذا النظام أو في نظام الشركات</w:t>
            </w:r>
            <w:r w:rsidRPr="00BF1FB7">
              <w:rPr>
                <w:rFonts w:ascii="DIN Next LT Arabic Light" w:hAnsi="DIN Next LT Arabic Light" w:cs="DIN Next LT Arabic Light"/>
                <w:color w:val="000000" w:themeColor="text1"/>
                <w:sz w:val="22"/>
                <w:szCs w:val="22"/>
              </w:rPr>
              <w:t>.</w:t>
            </w:r>
          </w:p>
        </w:tc>
        <w:tc>
          <w:tcPr>
            <w:tcW w:w="1559" w:type="dxa"/>
            <w:shd w:val="clear" w:color="auto" w:fill="auto"/>
          </w:tcPr>
          <w:p w14:paraId="2877D8DE" w14:textId="47D84118" w:rsidR="00BF1FB7" w:rsidRPr="003B399E" w:rsidRDefault="0049047C" w:rsidP="003B399E">
            <w:pPr>
              <w:ind w:left="27"/>
              <w:jc w:val="center"/>
              <w:rPr>
                <w:rFonts w:ascii="DIN Next LT Arabic Light" w:hAnsi="DIN Next LT Arabic Light" w:cs="DIN Next LT Arabic Light"/>
                <w:b/>
                <w:bCs/>
                <w:color w:val="000000" w:themeColor="text1"/>
                <w:sz w:val="22"/>
                <w:szCs w:val="22"/>
                <w:rtl/>
              </w:rPr>
            </w:pPr>
            <w:r w:rsidRPr="003B399E">
              <w:rPr>
                <w:rFonts w:ascii="DIN Next LT Arabic Light" w:hAnsi="DIN Next LT Arabic Light" w:cs="DIN Next LT Arabic Light" w:hint="cs"/>
                <w:b/>
                <w:bCs/>
                <w:color w:val="FF0000"/>
                <w:sz w:val="22"/>
                <w:szCs w:val="22"/>
                <w:rtl/>
              </w:rPr>
              <w:t>تغير</w:t>
            </w:r>
          </w:p>
        </w:tc>
        <w:tc>
          <w:tcPr>
            <w:tcW w:w="3541" w:type="dxa"/>
            <w:shd w:val="clear" w:color="auto" w:fill="auto"/>
          </w:tcPr>
          <w:p w14:paraId="18C791EB" w14:textId="183D6F06" w:rsidR="00BF1FB7" w:rsidRPr="00BF1FB7" w:rsidRDefault="004B13D0" w:rsidP="0049047C">
            <w:pPr>
              <w:ind w:left="27"/>
              <w:jc w:val="both"/>
              <w:rPr>
                <w:rFonts w:ascii="DIN Next LT Arabic Light" w:hAnsi="DIN Next LT Arabic Light" w:cs="DIN Next LT Arabic Light"/>
                <w:b/>
                <w:bCs/>
                <w:color w:val="000000" w:themeColor="text1"/>
                <w:sz w:val="22"/>
                <w:szCs w:val="22"/>
                <w:rtl/>
              </w:rPr>
            </w:pPr>
            <w:r w:rsidRPr="00BF1FB7">
              <w:rPr>
                <w:rFonts w:ascii="DIN Next LT Arabic Light" w:hAnsi="DIN Next LT Arabic Light" w:cs="DIN Next LT Arabic Light"/>
                <w:color w:val="000000" w:themeColor="text1"/>
                <w:sz w:val="22"/>
                <w:szCs w:val="22"/>
                <w:rtl/>
              </w:rPr>
              <w:t xml:space="preserve">تدخل الشركة بمجرد انقضائها دور التصفية، وتحتفظ بالشخصية الاعتبارية بالقدر اللازم للتصفية، ويصدر قرار التصفية الاختيارية من الجمعية العامة غير العادية، ويجب أن يشتمل قرار التصفية على تعيين المصفي وتحديد سلطاته وأتعابه والقيود المفروضة على سلطاته والمدة الزمنية اللازمة للتصفية ويجب ألا تتجاوز مدة التصفية الاختيارية </w:t>
            </w:r>
            <w:r>
              <w:rPr>
                <w:rFonts w:ascii="DIN Next LT Arabic Light" w:hAnsi="DIN Next LT Arabic Light" w:cs="DIN Next LT Arabic Light" w:hint="cs"/>
                <w:color w:val="000000" w:themeColor="text1"/>
                <w:sz w:val="22"/>
                <w:szCs w:val="22"/>
                <w:rtl/>
              </w:rPr>
              <w:t xml:space="preserve">ثلاث </w:t>
            </w:r>
            <w:r w:rsidRPr="00BF1FB7">
              <w:rPr>
                <w:rFonts w:ascii="DIN Next LT Arabic Light" w:hAnsi="DIN Next LT Arabic Light" w:cs="DIN Next LT Arabic Light"/>
                <w:color w:val="000000" w:themeColor="text1"/>
                <w:sz w:val="22"/>
                <w:szCs w:val="22"/>
                <w:rtl/>
              </w:rPr>
              <w:t xml:space="preserve">سنوات ولا يجوز تمديدها لأكثر من ذلك إلا بأمر قضائي وتنتهي </w:t>
            </w:r>
            <w:r w:rsidRPr="00BF1FB7">
              <w:rPr>
                <w:rFonts w:ascii="DIN Next LT Arabic Light" w:hAnsi="DIN Next LT Arabic Light" w:cs="DIN Next LT Arabic Light"/>
                <w:color w:val="000000" w:themeColor="text1"/>
                <w:sz w:val="22"/>
                <w:szCs w:val="22"/>
                <w:rtl/>
              </w:rPr>
              <w:lastRenderedPageBreak/>
              <w:t>سلطة مجلس إدارة الشركة بحلها ومع ذلك يظل مجلس إدارة الشركة قائماً على إدارة الشركة ويعد بالنسبة إلى الغير في حكم المصفي إلى أن يعين المصفي وتبقى جمعيات المساهمين قائمة خلال مدة التصفية ويقتصر دورها على ممارسة اختصاصاتها التي لا تتعارض مع اختصاصات المصفي</w:t>
            </w:r>
            <w:r w:rsidRPr="00BF1FB7">
              <w:rPr>
                <w:rFonts w:ascii="DIN Next LT Arabic Light" w:hAnsi="DIN Next LT Arabic Light" w:cs="DIN Next LT Arabic Light"/>
                <w:color w:val="000000" w:themeColor="text1"/>
                <w:sz w:val="22"/>
                <w:szCs w:val="22"/>
              </w:rPr>
              <w:t>.</w:t>
            </w:r>
            <w:r w:rsidRPr="00BF1FB7">
              <w:rPr>
                <w:rFonts w:ascii="DIN Next LT Arabic Light" w:hAnsi="DIN Next LT Arabic Light" w:cs="DIN Next LT Arabic Light"/>
                <w:color w:val="000000" w:themeColor="text1"/>
                <w:sz w:val="22"/>
                <w:szCs w:val="22"/>
                <w:rtl/>
              </w:rPr>
              <w:t xml:space="preserve"> ويبقى للمساهم خلال مدة التصفية حق الاطلاع على وثائق الشركة المقرر له في عقد تأسيس الشركة أو في هذا النظام أو في نظام الشركات</w:t>
            </w:r>
            <w:r w:rsidRPr="00BF1FB7">
              <w:rPr>
                <w:rFonts w:ascii="DIN Next LT Arabic Light" w:hAnsi="DIN Next LT Arabic Light" w:cs="DIN Next LT Arabic Light"/>
                <w:color w:val="000000" w:themeColor="text1"/>
                <w:sz w:val="22"/>
                <w:szCs w:val="22"/>
              </w:rPr>
              <w:t>.</w:t>
            </w:r>
          </w:p>
        </w:tc>
      </w:tr>
    </w:tbl>
    <w:p w14:paraId="47D78D11" w14:textId="77777777" w:rsidR="00B11D4B" w:rsidRPr="00BF1FB7" w:rsidRDefault="00B11D4B">
      <w:pPr>
        <w:rPr>
          <w:rFonts w:ascii="DIN Next LT Arabic Light" w:hAnsi="DIN Next LT Arabic Light" w:cs="DIN Next LT Arabic Light"/>
          <w:color w:val="000000" w:themeColor="text1"/>
          <w:sz w:val="22"/>
          <w:szCs w:val="22"/>
        </w:rPr>
      </w:pPr>
    </w:p>
    <w:sectPr w:rsidR="00B11D4B" w:rsidRPr="00BF1FB7" w:rsidSect="00543689">
      <w:headerReference w:type="default" r:id="rId8"/>
      <w:pgSz w:w="15840" w:h="12240" w:orient="landscape"/>
      <w:pgMar w:top="142" w:right="1440" w:bottom="1440" w:left="1440" w:header="2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6E2CCE" w14:textId="77777777" w:rsidR="001E7B71" w:rsidRDefault="001E7B71" w:rsidP="00543689">
      <w:r>
        <w:separator/>
      </w:r>
    </w:p>
  </w:endnote>
  <w:endnote w:type="continuationSeparator" w:id="0">
    <w:p w14:paraId="6D0DF3CA" w14:textId="77777777" w:rsidR="001E7B71" w:rsidRDefault="001E7B71" w:rsidP="00543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N Next LT Arabic Light">
    <w:altName w:val="Arial"/>
    <w:panose1 w:val="020B0303020203050203"/>
    <w:charset w:val="00"/>
    <w:family w:val="swiss"/>
    <w:pitch w:val="variable"/>
    <w:sig w:usb0="8000202F" w:usb1="C000A04A" w:usb2="00000008" w:usb3="00000000" w:csb0="00000041" w:csb1="00000000"/>
  </w:font>
  <w:font w:name="DIN Next LT Arabic">
    <w:altName w:val="Arial"/>
    <w:panose1 w:val="020B0503020203050203"/>
    <w:charset w:val="00"/>
    <w:family w:val="swiss"/>
    <w:pitch w:val="variable"/>
    <w:sig w:usb0="8000202F" w:usb1="C000A04A" w:usb2="00000008" w:usb3="00000000" w:csb0="0000004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FDD826" w14:textId="77777777" w:rsidR="001E7B71" w:rsidRDefault="001E7B71" w:rsidP="00543689">
      <w:r>
        <w:separator/>
      </w:r>
    </w:p>
  </w:footnote>
  <w:footnote w:type="continuationSeparator" w:id="0">
    <w:p w14:paraId="23551D1D" w14:textId="77777777" w:rsidR="001E7B71" w:rsidRDefault="001E7B71" w:rsidP="00543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B0143" w14:textId="77777777" w:rsidR="003C08D4" w:rsidRPr="00BF1FB7" w:rsidRDefault="003C08D4" w:rsidP="00543689">
    <w:pPr>
      <w:jc w:val="center"/>
      <w:rPr>
        <w:rFonts w:ascii="DIN Next LT Arabic" w:hAnsi="DIN Next LT Arabic" w:cs="DIN Next LT Arabic"/>
        <w:b/>
        <w:bCs/>
        <w:color w:val="000000" w:themeColor="text1"/>
        <w:sz w:val="40"/>
        <w:szCs w:val="40"/>
        <w:rtl/>
      </w:rPr>
    </w:pPr>
  </w:p>
  <w:p w14:paraId="7DE29CAF" w14:textId="2D5C87B0" w:rsidR="00543689" w:rsidRPr="00BF1FB7" w:rsidRDefault="004C438D" w:rsidP="00543689">
    <w:pPr>
      <w:jc w:val="center"/>
      <w:rPr>
        <w:rFonts w:ascii="DIN Next LT Arabic" w:hAnsi="DIN Next LT Arabic" w:cs="DIN Next LT Arabic"/>
        <w:b/>
        <w:bCs/>
        <w:color w:val="000000" w:themeColor="text1"/>
        <w:sz w:val="40"/>
        <w:szCs w:val="40"/>
        <w:rtl/>
      </w:rPr>
    </w:pPr>
    <w:r w:rsidRPr="00BF1FB7">
      <w:rPr>
        <w:rFonts w:ascii="DIN Next LT Arabic" w:hAnsi="DIN Next LT Arabic" w:cs="DIN Next LT Arabic"/>
        <w:b/>
        <w:bCs/>
        <w:color w:val="000000" w:themeColor="text1"/>
        <w:sz w:val="40"/>
        <w:szCs w:val="40"/>
        <w:rtl/>
      </w:rPr>
      <w:t xml:space="preserve">قائمة </w:t>
    </w:r>
    <w:r w:rsidR="00B861E8">
      <w:rPr>
        <w:rFonts w:ascii="DIN Next LT Arabic" w:hAnsi="DIN Next LT Arabic" w:cs="DIN Next LT Arabic" w:hint="cs"/>
        <w:b/>
        <w:bCs/>
        <w:color w:val="000000" w:themeColor="text1"/>
        <w:sz w:val="40"/>
        <w:szCs w:val="40"/>
        <w:rtl/>
      </w:rPr>
      <w:t xml:space="preserve">تعديلات </w:t>
    </w:r>
    <w:r w:rsidR="00255741" w:rsidRPr="00BF1FB7">
      <w:rPr>
        <w:rFonts w:ascii="DIN Next LT Arabic" w:hAnsi="DIN Next LT Arabic" w:cs="DIN Next LT Arabic"/>
        <w:b/>
        <w:bCs/>
        <w:color w:val="000000" w:themeColor="text1"/>
        <w:sz w:val="40"/>
        <w:szCs w:val="40"/>
        <w:rtl/>
      </w:rPr>
      <w:t>موا</w:t>
    </w:r>
    <w:r w:rsidR="00B861E8">
      <w:rPr>
        <w:rFonts w:ascii="DIN Next LT Arabic" w:hAnsi="DIN Next LT Arabic" w:cs="DIN Next LT Arabic" w:hint="cs"/>
        <w:b/>
        <w:bCs/>
        <w:color w:val="000000" w:themeColor="text1"/>
        <w:sz w:val="40"/>
        <w:szCs w:val="40"/>
        <w:rtl/>
      </w:rPr>
      <w:t xml:space="preserve">د </w:t>
    </w:r>
    <w:r w:rsidR="00255741" w:rsidRPr="00BF1FB7">
      <w:rPr>
        <w:rFonts w:ascii="DIN Next LT Arabic" w:hAnsi="DIN Next LT Arabic" w:cs="DIN Next LT Arabic"/>
        <w:b/>
        <w:bCs/>
        <w:color w:val="000000" w:themeColor="text1"/>
        <w:sz w:val="40"/>
        <w:szCs w:val="40"/>
        <w:rtl/>
      </w:rPr>
      <w:t xml:space="preserve">النظام الأساسي بعد الموائمة </w:t>
    </w:r>
  </w:p>
  <w:p w14:paraId="6EEA3B03" w14:textId="73CEF9BC" w:rsidR="00543689" w:rsidRPr="00BF1FB7" w:rsidRDefault="00543689" w:rsidP="00543689">
    <w:pPr>
      <w:jc w:val="center"/>
      <w:rPr>
        <w:rFonts w:ascii="DIN Next LT Arabic" w:hAnsi="DIN Next LT Arabic" w:cs="DIN Next LT Arabic"/>
        <w:b/>
        <w:bCs/>
        <w:color w:val="C00000"/>
        <w:sz w:val="32"/>
        <w:szCs w:val="32"/>
        <w:u w:val="single"/>
      </w:rPr>
    </w:pPr>
    <w:r w:rsidRPr="00BF1FB7">
      <w:rPr>
        <w:rFonts w:ascii="DIN Next LT Arabic" w:hAnsi="DIN Next LT Arabic" w:cs="DIN Next LT Arabic"/>
        <w:b/>
        <w:bCs/>
        <w:color w:val="C00000"/>
        <w:sz w:val="32"/>
        <w:szCs w:val="32"/>
        <w:u w:val="single"/>
        <w:rtl/>
      </w:rPr>
      <w:t>شركة موطن العقارية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77842"/>
    <w:multiLevelType w:val="hybridMultilevel"/>
    <w:tmpl w:val="7B920026"/>
    <w:lvl w:ilvl="0" w:tplc="FFFFFFFF">
      <w:start w:val="1"/>
      <w:numFmt w:val="arabicAlpha"/>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9F133D"/>
    <w:multiLevelType w:val="hybridMultilevel"/>
    <w:tmpl w:val="75768C56"/>
    <w:lvl w:ilvl="0" w:tplc="FFFFFFFF">
      <w:start w:val="1"/>
      <w:numFmt w:val="decimal"/>
      <w:lvlText w:val="%1."/>
      <w:lvlJc w:val="left"/>
      <w:pPr>
        <w:ind w:left="397"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C82321"/>
    <w:multiLevelType w:val="hybridMultilevel"/>
    <w:tmpl w:val="09B0EB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6279AD"/>
    <w:multiLevelType w:val="hybridMultilevel"/>
    <w:tmpl w:val="B4EE9076"/>
    <w:lvl w:ilvl="0" w:tplc="32C2AD74">
      <w:start w:val="1"/>
      <w:numFmt w:val="arabicAlpha"/>
      <w:lvlText w:val="%1."/>
      <w:lvlJc w:val="left"/>
      <w:pPr>
        <w:ind w:left="741" w:hanging="360"/>
      </w:pPr>
      <w:rPr>
        <w:rFonts w:hint="default"/>
        <w:color w:val="000000" w:themeColor="text1"/>
      </w:rPr>
    </w:lvl>
    <w:lvl w:ilvl="1" w:tplc="04090019" w:tentative="1">
      <w:start w:val="1"/>
      <w:numFmt w:val="lowerLetter"/>
      <w:lvlText w:val="%2."/>
      <w:lvlJc w:val="left"/>
      <w:pPr>
        <w:ind w:left="1461" w:hanging="360"/>
      </w:p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4" w15:restartNumberingAfterBreak="0">
    <w:nsid w:val="13641B96"/>
    <w:multiLevelType w:val="hybridMultilevel"/>
    <w:tmpl w:val="7B920026"/>
    <w:lvl w:ilvl="0" w:tplc="32A8C53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324350"/>
    <w:multiLevelType w:val="hybridMultilevel"/>
    <w:tmpl w:val="B07AE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B468C8"/>
    <w:multiLevelType w:val="hybridMultilevel"/>
    <w:tmpl w:val="75768C56"/>
    <w:lvl w:ilvl="0" w:tplc="FFFFFFFF">
      <w:start w:val="1"/>
      <w:numFmt w:val="decimal"/>
      <w:lvlText w:val="%1."/>
      <w:lvlJc w:val="left"/>
      <w:pPr>
        <w:ind w:left="397"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E72240"/>
    <w:multiLevelType w:val="hybridMultilevel"/>
    <w:tmpl w:val="58DEC518"/>
    <w:lvl w:ilvl="0" w:tplc="FFFFFFFF">
      <w:start w:val="1"/>
      <w:numFmt w:val="decimal"/>
      <w:lvlText w:val="%1."/>
      <w:lvlJc w:val="left"/>
      <w:pPr>
        <w:ind w:left="424" w:hanging="360"/>
      </w:pPr>
      <w:rPr>
        <w:rFonts w:hint="default"/>
        <w:lang w:val="en-US"/>
      </w:rPr>
    </w:lvl>
    <w:lvl w:ilvl="1" w:tplc="08090019" w:tentative="1">
      <w:start w:val="1"/>
      <w:numFmt w:val="lowerLetter"/>
      <w:lvlText w:val="%2."/>
      <w:lvlJc w:val="left"/>
      <w:pPr>
        <w:ind w:left="1467" w:hanging="360"/>
      </w:pPr>
    </w:lvl>
    <w:lvl w:ilvl="2" w:tplc="0809001B" w:tentative="1">
      <w:start w:val="1"/>
      <w:numFmt w:val="lowerRoman"/>
      <w:lvlText w:val="%3."/>
      <w:lvlJc w:val="right"/>
      <w:pPr>
        <w:ind w:left="2187" w:hanging="180"/>
      </w:pPr>
    </w:lvl>
    <w:lvl w:ilvl="3" w:tplc="0809000F" w:tentative="1">
      <w:start w:val="1"/>
      <w:numFmt w:val="decimal"/>
      <w:lvlText w:val="%4."/>
      <w:lvlJc w:val="left"/>
      <w:pPr>
        <w:ind w:left="2907" w:hanging="360"/>
      </w:pPr>
    </w:lvl>
    <w:lvl w:ilvl="4" w:tplc="08090019" w:tentative="1">
      <w:start w:val="1"/>
      <w:numFmt w:val="lowerLetter"/>
      <w:lvlText w:val="%5."/>
      <w:lvlJc w:val="left"/>
      <w:pPr>
        <w:ind w:left="3627" w:hanging="360"/>
      </w:pPr>
    </w:lvl>
    <w:lvl w:ilvl="5" w:tplc="0809001B" w:tentative="1">
      <w:start w:val="1"/>
      <w:numFmt w:val="lowerRoman"/>
      <w:lvlText w:val="%6."/>
      <w:lvlJc w:val="right"/>
      <w:pPr>
        <w:ind w:left="4347" w:hanging="180"/>
      </w:pPr>
    </w:lvl>
    <w:lvl w:ilvl="6" w:tplc="0809000F" w:tentative="1">
      <w:start w:val="1"/>
      <w:numFmt w:val="decimal"/>
      <w:lvlText w:val="%7."/>
      <w:lvlJc w:val="left"/>
      <w:pPr>
        <w:ind w:left="5067" w:hanging="360"/>
      </w:pPr>
    </w:lvl>
    <w:lvl w:ilvl="7" w:tplc="08090019" w:tentative="1">
      <w:start w:val="1"/>
      <w:numFmt w:val="lowerLetter"/>
      <w:lvlText w:val="%8."/>
      <w:lvlJc w:val="left"/>
      <w:pPr>
        <w:ind w:left="5787" w:hanging="360"/>
      </w:pPr>
    </w:lvl>
    <w:lvl w:ilvl="8" w:tplc="0809001B" w:tentative="1">
      <w:start w:val="1"/>
      <w:numFmt w:val="lowerRoman"/>
      <w:lvlText w:val="%9."/>
      <w:lvlJc w:val="right"/>
      <w:pPr>
        <w:ind w:left="6507" w:hanging="180"/>
      </w:pPr>
    </w:lvl>
  </w:abstractNum>
  <w:abstractNum w:abstractNumId="8" w15:restartNumberingAfterBreak="0">
    <w:nsid w:val="28812761"/>
    <w:multiLevelType w:val="hybridMultilevel"/>
    <w:tmpl w:val="CC4AB6E0"/>
    <w:lvl w:ilvl="0" w:tplc="FFFFFFFF">
      <w:start w:val="1"/>
      <w:numFmt w:val="decimal"/>
      <w:lvlText w:val="%1."/>
      <w:lvlJc w:val="left"/>
      <w:pPr>
        <w:ind w:left="451" w:hanging="360"/>
      </w:pPr>
      <w:rPr>
        <w:rFonts w:hint="default"/>
        <w:lang w:val="en-US"/>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9" w15:restartNumberingAfterBreak="0">
    <w:nsid w:val="31B37036"/>
    <w:multiLevelType w:val="hybridMultilevel"/>
    <w:tmpl w:val="09B0E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1B2127"/>
    <w:multiLevelType w:val="hybridMultilevel"/>
    <w:tmpl w:val="0F4E7BC8"/>
    <w:lvl w:ilvl="0" w:tplc="0409000F">
      <w:start w:val="1"/>
      <w:numFmt w:val="decimal"/>
      <w:lvlText w:val="%1."/>
      <w:lvlJc w:val="left"/>
      <w:pPr>
        <w:ind w:left="720" w:hanging="360"/>
      </w:pPr>
      <w:rPr>
        <w:rFonts w:hint="default"/>
        <w:b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8E01713"/>
    <w:multiLevelType w:val="multilevel"/>
    <w:tmpl w:val="64A47FF0"/>
    <w:lvl w:ilvl="0">
      <w:start w:val="1"/>
      <w:numFmt w:val="arabicAbjad"/>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ABA3750"/>
    <w:multiLevelType w:val="hybridMultilevel"/>
    <w:tmpl w:val="5EAA1E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F2C19"/>
    <w:multiLevelType w:val="hybridMultilevel"/>
    <w:tmpl w:val="F6C44DD6"/>
    <w:lvl w:ilvl="0" w:tplc="FFFFFFFF">
      <w:start w:val="1"/>
      <w:numFmt w:val="decimal"/>
      <w:lvlText w:val="%1."/>
      <w:lvlJc w:val="left"/>
      <w:pPr>
        <w:ind w:left="747" w:hanging="360"/>
      </w:pPr>
      <w:rPr>
        <w:rFonts w:hint="default"/>
        <w:lang w:val="en-US"/>
      </w:rPr>
    </w:lvl>
    <w:lvl w:ilvl="1" w:tplc="08090019" w:tentative="1">
      <w:start w:val="1"/>
      <w:numFmt w:val="lowerLetter"/>
      <w:lvlText w:val="%2."/>
      <w:lvlJc w:val="left"/>
      <w:pPr>
        <w:ind w:left="1467" w:hanging="360"/>
      </w:pPr>
    </w:lvl>
    <w:lvl w:ilvl="2" w:tplc="0809001B" w:tentative="1">
      <w:start w:val="1"/>
      <w:numFmt w:val="lowerRoman"/>
      <w:lvlText w:val="%3."/>
      <w:lvlJc w:val="right"/>
      <w:pPr>
        <w:ind w:left="2187" w:hanging="180"/>
      </w:pPr>
    </w:lvl>
    <w:lvl w:ilvl="3" w:tplc="0809000F" w:tentative="1">
      <w:start w:val="1"/>
      <w:numFmt w:val="decimal"/>
      <w:lvlText w:val="%4."/>
      <w:lvlJc w:val="left"/>
      <w:pPr>
        <w:ind w:left="2907" w:hanging="360"/>
      </w:pPr>
    </w:lvl>
    <w:lvl w:ilvl="4" w:tplc="08090019" w:tentative="1">
      <w:start w:val="1"/>
      <w:numFmt w:val="lowerLetter"/>
      <w:lvlText w:val="%5."/>
      <w:lvlJc w:val="left"/>
      <w:pPr>
        <w:ind w:left="3627" w:hanging="360"/>
      </w:pPr>
    </w:lvl>
    <w:lvl w:ilvl="5" w:tplc="0809001B" w:tentative="1">
      <w:start w:val="1"/>
      <w:numFmt w:val="lowerRoman"/>
      <w:lvlText w:val="%6."/>
      <w:lvlJc w:val="right"/>
      <w:pPr>
        <w:ind w:left="4347" w:hanging="180"/>
      </w:pPr>
    </w:lvl>
    <w:lvl w:ilvl="6" w:tplc="0809000F" w:tentative="1">
      <w:start w:val="1"/>
      <w:numFmt w:val="decimal"/>
      <w:lvlText w:val="%7."/>
      <w:lvlJc w:val="left"/>
      <w:pPr>
        <w:ind w:left="5067" w:hanging="360"/>
      </w:pPr>
    </w:lvl>
    <w:lvl w:ilvl="7" w:tplc="08090019" w:tentative="1">
      <w:start w:val="1"/>
      <w:numFmt w:val="lowerLetter"/>
      <w:lvlText w:val="%8."/>
      <w:lvlJc w:val="left"/>
      <w:pPr>
        <w:ind w:left="5787" w:hanging="360"/>
      </w:pPr>
    </w:lvl>
    <w:lvl w:ilvl="8" w:tplc="0809001B" w:tentative="1">
      <w:start w:val="1"/>
      <w:numFmt w:val="lowerRoman"/>
      <w:lvlText w:val="%9."/>
      <w:lvlJc w:val="right"/>
      <w:pPr>
        <w:ind w:left="6507" w:hanging="180"/>
      </w:pPr>
    </w:lvl>
  </w:abstractNum>
  <w:abstractNum w:abstractNumId="14" w15:restartNumberingAfterBreak="0">
    <w:nsid w:val="48604EB0"/>
    <w:multiLevelType w:val="hybridMultilevel"/>
    <w:tmpl w:val="75768C56"/>
    <w:lvl w:ilvl="0" w:tplc="6BEA8C54">
      <w:start w:val="1"/>
      <w:numFmt w:val="decimal"/>
      <w:lvlText w:val="%1."/>
      <w:lvlJc w:val="left"/>
      <w:pPr>
        <w:ind w:left="39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C526D7"/>
    <w:multiLevelType w:val="hybridMultilevel"/>
    <w:tmpl w:val="09B0EB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F44A66"/>
    <w:multiLevelType w:val="hybridMultilevel"/>
    <w:tmpl w:val="F5264AB4"/>
    <w:lvl w:ilvl="0" w:tplc="FFFFFFFF">
      <w:start w:val="1"/>
      <w:numFmt w:val="decimal"/>
      <w:lvlText w:val="%1."/>
      <w:lvlJc w:val="left"/>
      <w:pPr>
        <w:ind w:left="686" w:hanging="360"/>
      </w:pPr>
      <w:rPr>
        <w:rFonts w:hint="default"/>
        <w:b w:val="0"/>
        <w:lang w:val="en-US"/>
      </w:rPr>
    </w:lvl>
    <w:lvl w:ilvl="1" w:tplc="FFFFFFFF" w:tentative="1">
      <w:start w:val="1"/>
      <w:numFmt w:val="lowerLetter"/>
      <w:lvlText w:val="%2."/>
      <w:lvlJc w:val="left"/>
      <w:pPr>
        <w:ind w:left="1406" w:hanging="360"/>
      </w:pPr>
    </w:lvl>
    <w:lvl w:ilvl="2" w:tplc="FFFFFFFF" w:tentative="1">
      <w:start w:val="1"/>
      <w:numFmt w:val="lowerRoman"/>
      <w:lvlText w:val="%3."/>
      <w:lvlJc w:val="right"/>
      <w:pPr>
        <w:ind w:left="2126" w:hanging="180"/>
      </w:pPr>
    </w:lvl>
    <w:lvl w:ilvl="3" w:tplc="FFFFFFFF" w:tentative="1">
      <w:start w:val="1"/>
      <w:numFmt w:val="decimal"/>
      <w:lvlText w:val="%4."/>
      <w:lvlJc w:val="left"/>
      <w:pPr>
        <w:ind w:left="2846" w:hanging="360"/>
      </w:pPr>
    </w:lvl>
    <w:lvl w:ilvl="4" w:tplc="FFFFFFFF" w:tentative="1">
      <w:start w:val="1"/>
      <w:numFmt w:val="lowerLetter"/>
      <w:lvlText w:val="%5."/>
      <w:lvlJc w:val="left"/>
      <w:pPr>
        <w:ind w:left="3566" w:hanging="360"/>
      </w:pPr>
    </w:lvl>
    <w:lvl w:ilvl="5" w:tplc="FFFFFFFF" w:tentative="1">
      <w:start w:val="1"/>
      <w:numFmt w:val="lowerRoman"/>
      <w:lvlText w:val="%6."/>
      <w:lvlJc w:val="right"/>
      <w:pPr>
        <w:ind w:left="4286" w:hanging="180"/>
      </w:pPr>
    </w:lvl>
    <w:lvl w:ilvl="6" w:tplc="FFFFFFFF" w:tentative="1">
      <w:start w:val="1"/>
      <w:numFmt w:val="decimal"/>
      <w:lvlText w:val="%7."/>
      <w:lvlJc w:val="left"/>
      <w:pPr>
        <w:ind w:left="5006" w:hanging="360"/>
      </w:pPr>
    </w:lvl>
    <w:lvl w:ilvl="7" w:tplc="FFFFFFFF" w:tentative="1">
      <w:start w:val="1"/>
      <w:numFmt w:val="lowerLetter"/>
      <w:lvlText w:val="%8."/>
      <w:lvlJc w:val="left"/>
      <w:pPr>
        <w:ind w:left="5726" w:hanging="360"/>
      </w:pPr>
    </w:lvl>
    <w:lvl w:ilvl="8" w:tplc="FFFFFFFF" w:tentative="1">
      <w:start w:val="1"/>
      <w:numFmt w:val="lowerRoman"/>
      <w:lvlText w:val="%9."/>
      <w:lvlJc w:val="right"/>
      <w:pPr>
        <w:ind w:left="6446" w:hanging="180"/>
      </w:pPr>
    </w:lvl>
  </w:abstractNum>
  <w:abstractNum w:abstractNumId="17" w15:restartNumberingAfterBreak="0">
    <w:nsid w:val="4F8F751B"/>
    <w:multiLevelType w:val="hybridMultilevel"/>
    <w:tmpl w:val="95F67DE4"/>
    <w:lvl w:ilvl="0" w:tplc="FFFFFFFF">
      <w:start w:val="1"/>
      <w:numFmt w:val="decimal"/>
      <w:lvlText w:val="%1."/>
      <w:lvlJc w:val="left"/>
      <w:pPr>
        <w:ind w:left="424" w:hanging="360"/>
      </w:pPr>
      <w:rPr>
        <w:rFonts w:hint="default"/>
        <w:lang w:val="en-US"/>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18" w15:restartNumberingAfterBreak="0">
    <w:nsid w:val="53175570"/>
    <w:multiLevelType w:val="hybridMultilevel"/>
    <w:tmpl w:val="09B0EB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66022D"/>
    <w:multiLevelType w:val="hybridMultilevel"/>
    <w:tmpl w:val="72CECA84"/>
    <w:lvl w:ilvl="0" w:tplc="0409000F">
      <w:start w:val="1"/>
      <w:numFmt w:val="decimal"/>
      <w:lvlText w:val="%1."/>
      <w:lvlJc w:val="left"/>
      <w:pPr>
        <w:ind w:left="747" w:hanging="360"/>
      </w:p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20" w15:restartNumberingAfterBreak="0">
    <w:nsid w:val="5482372C"/>
    <w:multiLevelType w:val="hybridMultilevel"/>
    <w:tmpl w:val="9348B874"/>
    <w:lvl w:ilvl="0" w:tplc="FFFFFFFF">
      <w:start w:val="1"/>
      <w:numFmt w:val="decimal"/>
      <w:lvlText w:val="%1."/>
      <w:lvlJc w:val="left"/>
      <w:pPr>
        <w:ind w:left="424" w:hanging="360"/>
      </w:pPr>
      <w:rPr>
        <w:rFonts w:hint="default"/>
        <w:lang w:val="en-US"/>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21" w15:restartNumberingAfterBreak="0">
    <w:nsid w:val="59E97959"/>
    <w:multiLevelType w:val="hybridMultilevel"/>
    <w:tmpl w:val="0F4E7BC8"/>
    <w:lvl w:ilvl="0" w:tplc="FFFFFFFF">
      <w:start w:val="1"/>
      <w:numFmt w:val="decimal"/>
      <w:lvlText w:val="%1."/>
      <w:lvlJc w:val="left"/>
      <w:pPr>
        <w:ind w:left="720" w:hanging="360"/>
      </w:pPr>
      <w:rPr>
        <w:rFonts w:hint="default"/>
        <w:b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B034505"/>
    <w:multiLevelType w:val="hybridMultilevel"/>
    <w:tmpl w:val="72DAB51C"/>
    <w:lvl w:ilvl="0" w:tplc="9050BFB6">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522333"/>
    <w:multiLevelType w:val="hybridMultilevel"/>
    <w:tmpl w:val="75768C56"/>
    <w:lvl w:ilvl="0" w:tplc="FFFFFFFF">
      <w:start w:val="1"/>
      <w:numFmt w:val="decimal"/>
      <w:lvlText w:val="%1."/>
      <w:lvlJc w:val="left"/>
      <w:pPr>
        <w:ind w:left="397"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2D5560E"/>
    <w:multiLevelType w:val="hybridMultilevel"/>
    <w:tmpl w:val="E0441A6A"/>
    <w:lvl w:ilvl="0" w:tplc="0409000F">
      <w:start w:val="1"/>
      <w:numFmt w:val="decimal"/>
      <w:lvlText w:val="%1."/>
      <w:lvlJc w:val="left"/>
      <w:pPr>
        <w:ind w:left="747" w:hanging="360"/>
      </w:pPr>
      <w:rPr>
        <w:rFonts w:hint="default"/>
      </w:rPr>
    </w:lvl>
    <w:lvl w:ilvl="1" w:tplc="FFFFFFFF" w:tentative="1">
      <w:start w:val="1"/>
      <w:numFmt w:val="lowerLetter"/>
      <w:lvlText w:val="%2."/>
      <w:lvlJc w:val="left"/>
      <w:pPr>
        <w:ind w:left="1467" w:hanging="360"/>
      </w:pPr>
    </w:lvl>
    <w:lvl w:ilvl="2" w:tplc="FFFFFFFF" w:tentative="1">
      <w:start w:val="1"/>
      <w:numFmt w:val="lowerRoman"/>
      <w:lvlText w:val="%3."/>
      <w:lvlJc w:val="right"/>
      <w:pPr>
        <w:ind w:left="2187" w:hanging="180"/>
      </w:pPr>
    </w:lvl>
    <w:lvl w:ilvl="3" w:tplc="FFFFFFFF" w:tentative="1">
      <w:start w:val="1"/>
      <w:numFmt w:val="decimal"/>
      <w:lvlText w:val="%4."/>
      <w:lvlJc w:val="left"/>
      <w:pPr>
        <w:ind w:left="2907" w:hanging="360"/>
      </w:pPr>
    </w:lvl>
    <w:lvl w:ilvl="4" w:tplc="FFFFFFFF" w:tentative="1">
      <w:start w:val="1"/>
      <w:numFmt w:val="lowerLetter"/>
      <w:lvlText w:val="%5."/>
      <w:lvlJc w:val="left"/>
      <w:pPr>
        <w:ind w:left="3627" w:hanging="360"/>
      </w:pPr>
    </w:lvl>
    <w:lvl w:ilvl="5" w:tplc="FFFFFFFF" w:tentative="1">
      <w:start w:val="1"/>
      <w:numFmt w:val="lowerRoman"/>
      <w:lvlText w:val="%6."/>
      <w:lvlJc w:val="right"/>
      <w:pPr>
        <w:ind w:left="4347" w:hanging="180"/>
      </w:pPr>
    </w:lvl>
    <w:lvl w:ilvl="6" w:tplc="FFFFFFFF" w:tentative="1">
      <w:start w:val="1"/>
      <w:numFmt w:val="decimal"/>
      <w:lvlText w:val="%7."/>
      <w:lvlJc w:val="left"/>
      <w:pPr>
        <w:ind w:left="5067" w:hanging="360"/>
      </w:pPr>
    </w:lvl>
    <w:lvl w:ilvl="7" w:tplc="FFFFFFFF" w:tentative="1">
      <w:start w:val="1"/>
      <w:numFmt w:val="lowerLetter"/>
      <w:lvlText w:val="%8."/>
      <w:lvlJc w:val="left"/>
      <w:pPr>
        <w:ind w:left="5787" w:hanging="360"/>
      </w:pPr>
    </w:lvl>
    <w:lvl w:ilvl="8" w:tplc="FFFFFFFF" w:tentative="1">
      <w:start w:val="1"/>
      <w:numFmt w:val="lowerRoman"/>
      <w:lvlText w:val="%9."/>
      <w:lvlJc w:val="right"/>
      <w:pPr>
        <w:ind w:left="6507" w:hanging="180"/>
      </w:pPr>
    </w:lvl>
  </w:abstractNum>
  <w:abstractNum w:abstractNumId="25" w15:restartNumberingAfterBreak="0">
    <w:nsid w:val="630D4605"/>
    <w:multiLevelType w:val="hybridMultilevel"/>
    <w:tmpl w:val="09B0EB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3906A4E"/>
    <w:multiLevelType w:val="hybridMultilevel"/>
    <w:tmpl w:val="0F4E7BC8"/>
    <w:lvl w:ilvl="0" w:tplc="FFFFFFFF">
      <w:start w:val="1"/>
      <w:numFmt w:val="decimal"/>
      <w:lvlText w:val="%1."/>
      <w:lvlJc w:val="left"/>
      <w:pPr>
        <w:ind w:left="720" w:hanging="360"/>
      </w:pPr>
      <w:rPr>
        <w:rFonts w:hint="default"/>
        <w:b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3D37339"/>
    <w:multiLevelType w:val="hybridMultilevel"/>
    <w:tmpl w:val="2570A348"/>
    <w:lvl w:ilvl="0" w:tplc="81AE6280">
      <w:start w:val="1"/>
      <w:numFmt w:val="arabicAlpha"/>
      <w:lvlText w:val="%1."/>
      <w:lvlJc w:val="left"/>
      <w:pPr>
        <w:ind w:left="72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372AB6"/>
    <w:multiLevelType w:val="hybridMultilevel"/>
    <w:tmpl w:val="A3D80810"/>
    <w:lvl w:ilvl="0" w:tplc="3F6EC0A8">
      <w:start w:val="1"/>
      <w:numFmt w:val="arabicAlpha"/>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882D22"/>
    <w:multiLevelType w:val="hybridMultilevel"/>
    <w:tmpl w:val="7CAC58CE"/>
    <w:lvl w:ilvl="0" w:tplc="FFFFFFFF">
      <w:start w:val="1"/>
      <w:numFmt w:val="arabicAlpha"/>
      <w:lvlText w:val="%1."/>
      <w:lvlJc w:val="left"/>
      <w:pPr>
        <w:ind w:left="747" w:hanging="360"/>
      </w:pPr>
      <w:rPr>
        <w:rFonts w:hint="default"/>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30" w15:restartNumberingAfterBreak="0">
    <w:nsid w:val="69DE2A5D"/>
    <w:multiLevelType w:val="hybridMultilevel"/>
    <w:tmpl w:val="FB6603E4"/>
    <w:lvl w:ilvl="0" w:tplc="FFFFFFFF">
      <w:start w:val="1"/>
      <w:numFmt w:val="decimal"/>
      <w:lvlText w:val="%1."/>
      <w:lvlJc w:val="left"/>
      <w:pPr>
        <w:ind w:left="747" w:hanging="360"/>
      </w:pPr>
      <w:rPr>
        <w:rFonts w:hint="default"/>
        <w:lang w:val="en-US"/>
      </w:rPr>
    </w:lvl>
    <w:lvl w:ilvl="1" w:tplc="08090019" w:tentative="1">
      <w:start w:val="1"/>
      <w:numFmt w:val="lowerLetter"/>
      <w:lvlText w:val="%2."/>
      <w:lvlJc w:val="left"/>
      <w:pPr>
        <w:ind w:left="1467" w:hanging="360"/>
      </w:pPr>
    </w:lvl>
    <w:lvl w:ilvl="2" w:tplc="0809001B" w:tentative="1">
      <w:start w:val="1"/>
      <w:numFmt w:val="lowerRoman"/>
      <w:lvlText w:val="%3."/>
      <w:lvlJc w:val="right"/>
      <w:pPr>
        <w:ind w:left="2187" w:hanging="180"/>
      </w:pPr>
    </w:lvl>
    <w:lvl w:ilvl="3" w:tplc="0809000F" w:tentative="1">
      <w:start w:val="1"/>
      <w:numFmt w:val="decimal"/>
      <w:lvlText w:val="%4."/>
      <w:lvlJc w:val="left"/>
      <w:pPr>
        <w:ind w:left="2907" w:hanging="360"/>
      </w:pPr>
    </w:lvl>
    <w:lvl w:ilvl="4" w:tplc="08090019" w:tentative="1">
      <w:start w:val="1"/>
      <w:numFmt w:val="lowerLetter"/>
      <w:lvlText w:val="%5."/>
      <w:lvlJc w:val="left"/>
      <w:pPr>
        <w:ind w:left="3627" w:hanging="360"/>
      </w:pPr>
    </w:lvl>
    <w:lvl w:ilvl="5" w:tplc="0809001B" w:tentative="1">
      <w:start w:val="1"/>
      <w:numFmt w:val="lowerRoman"/>
      <w:lvlText w:val="%6."/>
      <w:lvlJc w:val="right"/>
      <w:pPr>
        <w:ind w:left="4347" w:hanging="180"/>
      </w:pPr>
    </w:lvl>
    <w:lvl w:ilvl="6" w:tplc="0809000F" w:tentative="1">
      <w:start w:val="1"/>
      <w:numFmt w:val="decimal"/>
      <w:lvlText w:val="%7."/>
      <w:lvlJc w:val="left"/>
      <w:pPr>
        <w:ind w:left="5067" w:hanging="360"/>
      </w:pPr>
    </w:lvl>
    <w:lvl w:ilvl="7" w:tplc="08090019" w:tentative="1">
      <w:start w:val="1"/>
      <w:numFmt w:val="lowerLetter"/>
      <w:lvlText w:val="%8."/>
      <w:lvlJc w:val="left"/>
      <w:pPr>
        <w:ind w:left="5787" w:hanging="360"/>
      </w:pPr>
    </w:lvl>
    <w:lvl w:ilvl="8" w:tplc="0809001B" w:tentative="1">
      <w:start w:val="1"/>
      <w:numFmt w:val="lowerRoman"/>
      <w:lvlText w:val="%9."/>
      <w:lvlJc w:val="right"/>
      <w:pPr>
        <w:ind w:left="6507" w:hanging="180"/>
      </w:pPr>
    </w:lvl>
  </w:abstractNum>
  <w:abstractNum w:abstractNumId="31" w15:restartNumberingAfterBreak="0">
    <w:nsid w:val="6A9E0CA0"/>
    <w:multiLevelType w:val="hybridMultilevel"/>
    <w:tmpl w:val="7B920026"/>
    <w:lvl w:ilvl="0" w:tplc="FFFFFFFF">
      <w:start w:val="1"/>
      <w:numFmt w:val="arabicAlpha"/>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BE615C9"/>
    <w:multiLevelType w:val="hybridMultilevel"/>
    <w:tmpl w:val="09B0EB4A"/>
    <w:lvl w:ilvl="0" w:tplc="FFFFFFFF">
      <w:start w:val="1"/>
      <w:numFmt w:val="decimal"/>
      <w:lvlText w:val="%1."/>
      <w:lvlJc w:val="left"/>
      <w:pPr>
        <w:ind w:left="990" w:hanging="360"/>
      </w:p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3" w15:restartNumberingAfterBreak="0">
    <w:nsid w:val="6C8A4910"/>
    <w:multiLevelType w:val="multilevel"/>
    <w:tmpl w:val="64A47FF0"/>
    <w:numStyleLink w:val="Style1"/>
  </w:abstractNum>
  <w:abstractNum w:abstractNumId="34" w15:restartNumberingAfterBreak="0">
    <w:nsid w:val="6CCE62FC"/>
    <w:multiLevelType w:val="hybridMultilevel"/>
    <w:tmpl w:val="7B920026"/>
    <w:lvl w:ilvl="0" w:tplc="FFFFFFFF">
      <w:start w:val="1"/>
      <w:numFmt w:val="arabicAlpha"/>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E906B3F"/>
    <w:multiLevelType w:val="hybridMultilevel"/>
    <w:tmpl w:val="452E6A42"/>
    <w:lvl w:ilvl="0" w:tplc="EE7A49F2">
      <w:start w:val="1"/>
      <w:numFmt w:val="decimal"/>
      <w:lvlText w:val="%1."/>
      <w:lvlJc w:val="left"/>
      <w:pPr>
        <w:ind w:left="686" w:hanging="360"/>
      </w:pPr>
      <w:rPr>
        <w:rFonts w:hint="default"/>
        <w:b w:val="0"/>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36" w15:restartNumberingAfterBreak="0">
    <w:nsid w:val="70B822E9"/>
    <w:multiLevelType w:val="hybridMultilevel"/>
    <w:tmpl w:val="75768C56"/>
    <w:lvl w:ilvl="0" w:tplc="FFFFFFFF">
      <w:start w:val="1"/>
      <w:numFmt w:val="decimal"/>
      <w:lvlText w:val="%1."/>
      <w:lvlJc w:val="left"/>
      <w:pPr>
        <w:ind w:left="397"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1982074"/>
    <w:multiLevelType w:val="multilevel"/>
    <w:tmpl w:val="64A47FF0"/>
    <w:styleLink w:val="Style1"/>
    <w:lvl w:ilvl="0">
      <w:start w:val="1"/>
      <w:numFmt w:val="arabicAbjad"/>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727662D"/>
    <w:multiLevelType w:val="hybridMultilevel"/>
    <w:tmpl w:val="D452031C"/>
    <w:lvl w:ilvl="0" w:tplc="4DC4D93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097B53"/>
    <w:multiLevelType w:val="hybridMultilevel"/>
    <w:tmpl w:val="75768C56"/>
    <w:lvl w:ilvl="0" w:tplc="FFFFFFFF">
      <w:start w:val="1"/>
      <w:numFmt w:val="decimal"/>
      <w:lvlText w:val="%1."/>
      <w:lvlJc w:val="left"/>
      <w:pPr>
        <w:ind w:left="397"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D8949C3"/>
    <w:multiLevelType w:val="hybridMultilevel"/>
    <w:tmpl w:val="0F4E7BC8"/>
    <w:lvl w:ilvl="0" w:tplc="FFFFFFFF">
      <w:start w:val="1"/>
      <w:numFmt w:val="decimal"/>
      <w:lvlText w:val="%1."/>
      <w:lvlJc w:val="left"/>
      <w:pPr>
        <w:ind w:left="720" w:hanging="360"/>
      </w:pPr>
      <w:rPr>
        <w:rFonts w:hint="default"/>
        <w:b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26340523">
    <w:abstractNumId w:val="9"/>
  </w:num>
  <w:num w:numId="2" w16cid:durableId="2061586766">
    <w:abstractNumId w:val="18"/>
  </w:num>
  <w:num w:numId="3" w16cid:durableId="66463876">
    <w:abstractNumId w:val="25"/>
  </w:num>
  <w:num w:numId="4" w16cid:durableId="2076124579">
    <w:abstractNumId w:val="4"/>
  </w:num>
  <w:num w:numId="5" w16cid:durableId="1202208323">
    <w:abstractNumId w:val="0"/>
  </w:num>
  <w:num w:numId="6" w16cid:durableId="538590753">
    <w:abstractNumId w:val="14"/>
  </w:num>
  <w:num w:numId="7" w16cid:durableId="2034304354">
    <w:abstractNumId w:val="36"/>
  </w:num>
  <w:num w:numId="8" w16cid:durableId="1346444063">
    <w:abstractNumId w:val="28"/>
  </w:num>
  <w:num w:numId="9" w16cid:durableId="1516192598">
    <w:abstractNumId w:val="35"/>
  </w:num>
  <w:num w:numId="10" w16cid:durableId="128281373">
    <w:abstractNumId w:val="6"/>
  </w:num>
  <w:num w:numId="11" w16cid:durableId="1468007756">
    <w:abstractNumId w:val="33"/>
  </w:num>
  <w:num w:numId="12" w16cid:durableId="955939924">
    <w:abstractNumId w:val="37"/>
  </w:num>
  <w:num w:numId="13" w16cid:durableId="661785588">
    <w:abstractNumId w:val="34"/>
  </w:num>
  <w:num w:numId="14" w16cid:durableId="1337002032">
    <w:abstractNumId w:val="2"/>
  </w:num>
  <w:num w:numId="15" w16cid:durableId="2039699599">
    <w:abstractNumId w:val="32"/>
  </w:num>
  <w:num w:numId="16" w16cid:durableId="976034232">
    <w:abstractNumId w:val="15"/>
  </w:num>
  <w:num w:numId="17" w16cid:durableId="414937101">
    <w:abstractNumId w:val="23"/>
  </w:num>
  <w:num w:numId="18" w16cid:durableId="884676293">
    <w:abstractNumId w:val="1"/>
  </w:num>
  <w:num w:numId="19" w16cid:durableId="1652443627">
    <w:abstractNumId w:val="11"/>
  </w:num>
  <w:num w:numId="20" w16cid:durableId="1203443761">
    <w:abstractNumId w:val="27"/>
  </w:num>
  <w:num w:numId="21" w16cid:durableId="1400514433">
    <w:abstractNumId w:val="38"/>
  </w:num>
  <w:num w:numId="22" w16cid:durableId="302660318">
    <w:abstractNumId w:val="10"/>
  </w:num>
  <w:num w:numId="23" w16cid:durableId="87389510">
    <w:abstractNumId w:val="31"/>
  </w:num>
  <w:num w:numId="24" w16cid:durableId="1633751725">
    <w:abstractNumId w:val="3"/>
  </w:num>
  <w:num w:numId="25" w16cid:durableId="381903418">
    <w:abstractNumId w:val="21"/>
  </w:num>
  <w:num w:numId="26" w16cid:durableId="1368604644">
    <w:abstractNumId w:val="5"/>
  </w:num>
  <w:num w:numId="27" w16cid:durableId="1951662467">
    <w:abstractNumId w:val="40"/>
  </w:num>
  <w:num w:numId="28" w16cid:durableId="138114672">
    <w:abstractNumId w:val="26"/>
  </w:num>
  <w:num w:numId="29" w16cid:durableId="1271353731">
    <w:abstractNumId w:val="19"/>
  </w:num>
  <w:num w:numId="30" w16cid:durableId="1375273529">
    <w:abstractNumId w:val="29"/>
  </w:num>
  <w:num w:numId="31" w16cid:durableId="829710158">
    <w:abstractNumId w:val="24"/>
  </w:num>
  <w:num w:numId="32" w16cid:durableId="1902405259">
    <w:abstractNumId w:val="39"/>
  </w:num>
  <w:num w:numId="33" w16cid:durableId="1513955415">
    <w:abstractNumId w:val="17"/>
  </w:num>
  <w:num w:numId="34" w16cid:durableId="1463232746">
    <w:abstractNumId w:val="20"/>
  </w:num>
  <w:num w:numId="35" w16cid:durableId="70349185">
    <w:abstractNumId w:val="8"/>
  </w:num>
  <w:num w:numId="36" w16cid:durableId="2114981199">
    <w:abstractNumId w:val="22"/>
  </w:num>
  <w:num w:numId="37" w16cid:durableId="1397320018">
    <w:abstractNumId w:val="12"/>
  </w:num>
  <w:num w:numId="38" w16cid:durableId="1660696603">
    <w:abstractNumId w:val="16"/>
  </w:num>
  <w:num w:numId="39" w16cid:durableId="882474676">
    <w:abstractNumId w:val="7"/>
  </w:num>
  <w:num w:numId="40" w16cid:durableId="764957312">
    <w:abstractNumId w:val="13"/>
  </w:num>
  <w:num w:numId="41" w16cid:durableId="1088044819">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2C2"/>
    <w:rsid w:val="00004FDC"/>
    <w:rsid w:val="000066DF"/>
    <w:rsid w:val="00007357"/>
    <w:rsid w:val="00022B44"/>
    <w:rsid w:val="00024589"/>
    <w:rsid w:val="00031E80"/>
    <w:rsid w:val="00037C61"/>
    <w:rsid w:val="00043FC6"/>
    <w:rsid w:val="00046F7F"/>
    <w:rsid w:val="00061412"/>
    <w:rsid w:val="0006523D"/>
    <w:rsid w:val="00066547"/>
    <w:rsid w:val="00076156"/>
    <w:rsid w:val="0008297E"/>
    <w:rsid w:val="00090277"/>
    <w:rsid w:val="000A2A04"/>
    <w:rsid w:val="000A3E92"/>
    <w:rsid w:val="000B5CE6"/>
    <w:rsid w:val="000C315E"/>
    <w:rsid w:val="000C4D2C"/>
    <w:rsid w:val="000E0ED6"/>
    <w:rsid w:val="000E7611"/>
    <w:rsid w:val="000F3BB1"/>
    <w:rsid w:val="000F5867"/>
    <w:rsid w:val="001073FE"/>
    <w:rsid w:val="001133E6"/>
    <w:rsid w:val="00121D67"/>
    <w:rsid w:val="0012497C"/>
    <w:rsid w:val="001328EE"/>
    <w:rsid w:val="00133EFB"/>
    <w:rsid w:val="001442EF"/>
    <w:rsid w:val="00146E0B"/>
    <w:rsid w:val="00152933"/>
    <w:rsid w:val="0015375B"/>
    <w:rsid w:val="00156D88"/>
    <w:rsid w:val="00165F96"/>
    <w:rsid w:val="001671E5"/>
    <w:rsid w:val="00172740"/>
    <w:rsid w:val="00181FA1"/>
    <w:rsid w:val="00184F5F"/>
    <w:rsid w:val="0018629B"/>
    <w:rsid w:val="00186DAA"/>
    <w:rsid w:val="001A4F78"/>
    <w:rsid w:val="001C4080"/>
    <w:rsid w:val="001C7655"/>
    <w:rsid w:val="001C79D8"/>
    <w:rsid w:val="001E7B71"/>
    <w:rsid w:val="001F13F0"/>
    <w:rsid w:val="001F41E6"/>
    <w:rsid w:val="001F5141"/>
    <w:rsid w:val="0020048F"/>
    <w:rsid w:val="00203642"/>
    <w:rsid w:val="00204BC9"/>
    <w:rsid w:val="0020611E"/>
    <w:rsid w:val="00213A15"/>
    <w:rsid w:val="00222858"/>
    <w:rsid w:val="00226B77"/>
    <w:rsid w:val="002329AB"/>
    <w:rsid w:val="00235CD8"/>
    <w:rsid w:val="00236772"/>
    <w:rsid w:val="002376B1"/>
    <w:rsid w:val="00244E8D"/>
    <w:rsid w:val="0024721C"/>
    <w:rsid w:val="00251B78"/>
    <w:rsid w:val="00255741"/>
    <w:rsid w:val="0025639C"/>
    <w:rsid w:val="00270CA8"/>
    <w:rsid w:val="002711BC"/>
    <w:rsid w:val="00274750"/>
    <w:rsid w:val="00274E07"/>
    <w:rsid w:val="00277499"/>
    <w:rsid w:val="00277FC5"/>
    <w:rsid w:val="00282B6C"/>
    <w:rsid w:val="0029351B"/>
    <w:rsid w:val="002B09D9"/>
    <w:rsid w:val="002B6E23"/>
    <w:rsid w:val="002B7E40"/>
    <w:rsid w:val="002C5956"/>
    <w:rsid w:val="002D31F7"/>
    <w:rsid w:val="002D7781"/>
    <w:rsid w:val="00300D5E"/>
    <w:rsid w:val="003100D9"/>
    <w:rsid w:val="00321443"/>
    <w:rsid w:val="00323383"/>
    <w:rsid w:val="00334854"/>
    <w:rsid w:val="0034115B"/>
    <w:rsid w:val="003463DF"/>
    <w:rsid w:val="0035096D"/>
    <w:rsid w:val="00371F78"/>
    <w:rsid w:val="00397E47"/>
    <w:rsid w:val="003A0500"/>
    <w:rsid w:val="003A612D"/>
    <w:rsid w:val="003B399E"/>
    <w:rsid w:val="003B64DD"/>
    <w:rsid w:val="003C08D4"/>
    <w:rsid w:val="003C181D"/>
    <w:rsid w:val="003C70F2"/>
    <w:rsid w:val="003D1A0D"/>
    <w:rsid w:val="003D3EC3"/>
    <w:rsid w:val="003D3F56"/>
    <w:rsid w:val="003D5148"/>
    <w:rsid w:val="003D5AE4"/>
    <w:rsid w:val="003F174E"/>
    <w:rsid w:val="003F2E60"/>
    <w:rsid w:val="003F449C"/>
    <w:rsid w:val="003F524B"/>
    <w:rsid w:val="00402930"/>
    <w:rsid w:val="00410BC8"/>
    <w:rsid w:val="0043323A"/>
    <w:rsid w:val="004349B7"/>
    <w:rsid w:val="00451A10"/>
    <w:rsid w:val="00456EC3"/>
    <w:rsid w:val="004615D3"/>
    <w:rsid w:val="00464676"/>
    <w:rsid w:val="00465B6D"/>
    <w:rsid w:val="00467833"/>
    <w:rsid w:val="0049047C"/>
    <w:rsid w:val="00493A99"/>
    <w:rsid w:val="004A6BA0"/>
    <w:rsid w:val="004B02C2"/>
    <w:rsid w:val="004B0ACE"/>
    <w:rsid w:val="004B13D0"/>
    <w:rsid w:val="004C3283"/>
    <w:rsid w:val="004C33AD"/>
    <w:rsid w:val="004C438D"/>
    <w:rsid w:val="004D40F7"/>
    <w:rsid w:val="004E6954"/>
    <w:rsid w:val="004F5F7B"/>
    <w:rsid w:val="00511EBA"/>
    <w:rsid w:val="00516F3A"/>
    <w:rsid w:val="0051706B"/>
    <w:rsid w:val="0052035C"/>
    <w:rsid w:val="0052274F"/>
    <w:rsid w:val="00523C70"/>
    <w:rsid w:val="00524DFD"/>
    <w:rsid w:val="00527895"/>
    <w:rsid w:val="00543689"/>
    <w:rsid w:val="00546821"/>
    <w:rsid w:val="0056511D"/>
    <w:rsid w:val="005664F2"/>
    <w:rsid w:val="00567C28"/>
    <w:rsid w:val="00581DBF"/>
    <w:rsid w:val="00584B3E"/>
    <w:rsid w:val="00592E4E"/>
    <w:rsid w:val="005950DD"/>
    <w:rsid w:val="0059594F"/>
    <w:rsid w:val="005A3D65"/>
    <w:rsid w:val="005A46AF"/>
    <w:rsid w:val="005B4650"/>
    <w:rsid w:val="005C335F"/>
    <w:rsid w:val="005C4ADC"/>
    <w:rsid w:val="005D1AC1"/>
    <w:rsid w:val="005E032F"/>
    <w:rsid w:val="005F33DA"/>
    <w:rsid w:val="005F36FD"/>
    <w:rsid w:val="006103E2"/>
    <w:rsid w:val="00611AF2"/>
    <w:rsid w:val="0063084A"/>
    <w:rsid w:val="006318F1"/>
    <w:rsid w:val="00632BDD"/>
    <w:rsid w:val="006468A5"/>
    <w:rsid w:val="00655600"/>
    <w:rsid w:val="0065623A"/>
    <w:rsid w:val="00661605"/>
    <w:rsid w:val="00663E67"/>
    <w:rsid w:val="006661DB"/>
    <w:rsid w:val="00673790"/>
    <w:rsid w:val="006769B7"/>
    <w:rsid w:val="00676B02"/>
    <w:rsid w:val="006773E6"/>
    <w:rsid w:val="006807F1"/>
    <w:rsid w:val="0069103C"/>
    <w:rsid w:val="006B0291"/>
    <w:rsid w:val="006B3CCE"/>
    <w:rsid w:val="006C2F3B"/>
    <w:rsid w:val="006C4CD3"/>
    <w:rsid w:val="006D7899"/>
    <w:rsid w:val="006E28C3"/>
    <w:rsid w:val="006E626F"/>
    <w:rsid w:val="006F38BC"/>
    <w:rsid w:val="00703E0E"/>
    <w:rsid w:val="00705715"/>
    <w:rsid w:val="007063CB"/>
    <w:rsid w:val="00710861"/>
    <w:rsid w:val="00714BE4"/>
    <w:rsid w:val="00716F65"/>
    <w:rsid w:val="00724095"/>
    <w:rsid w:val="0073392F"/>
    <w:rsid w:val="007411F1"/>
    <w:rsid w:val="00747836"/>
    <w:rsid w:val="00747A5C"/>
    <w:rsid w:val="007570C6"/>
    <w:rsid w:val="00786C04"/>
    <w:rsid w:val="007944E9"/>
    <w:rsid w:val="007A15A2"/>
    <w:rsid w:val="007C32C2"/>
    <w:rsid w:val="007C46E8"/>
    <w:rsid w:val="007C4BE7"/>
    <w:rsid w:val="007D0E98"/>
    <w:rsid w:val="007D4C08"/>
    <w:rsid w:val="007E3D8E"/>
    <w:rsid w:val="007E5B71"/>
    <w:rsid w:val="007E7709"/>
    <w:rsid w:val="007F12B5"/>
    <w:rsid w:val="007F56C6"/>
    <w:rsid w:val="00810CF2"/>
    <w:rsid w:val="00822ED8"/>
    <w:rsid w:val="00825D6A"/>
    <w:rsid w:val="00835E72"/>
    <w:rsid w:val="00837E64"/>
    <w:rsid w:val="008449DE"/>
    <w:rsid w:val="0085003E"/>
    <w:rsid w:val="00851815"/>
    <w:rsid w:val="00853A39"/>
    <w:rsid w:val="0085585C"/>
    <w:rsid w:val="00862D29"/>
    <w:rsid w:val="00863BCB"/>
    <w:rsid w:val="008746D8"/>
    <w:rsid w:val="00877153"/>
    <w:rsid w:val="00886AD4"/>
    <w:rsid w:val="008B7130"/>
    <w:rsid w:val="008C3FB1"/>
    <w:rsid w:val="008D3A5C"/>
    <w:rsid w:val="00900214"/>
    <w:rsid w:val="00902042"/>
    <w:rsid w:val="009039FB"/>
    <w:rsid w:val="009304B8"/>
    <w:rsid w:val="009317D5"/>
    <w:rsid w:val="0093535D"/>
    <w:rsid w:val="009439D5"/>
    <w:rsid w:val="00961CDA"/>
    <w:rsid w:val="00963754"/>
    <w:rsid w:val="009728F7"/>
    <w:rsid w:val="00974614"/>
    <w:rsid w:val="00980DF7"/>
    <w:rsid w:val="00986DB5"/>
    <w:rsid w:val="00991F97"/>
    <w:rsid w:val="009A0C49"/>
    <w:rsid w:val="009C03E2"/>
    <w:rsid w:val="009C0B64"/>
    <w:rsid w:val="009C70A7"/>
    <w:rsid w:val="009D0819"/>
    <w:rsid w:val="009D0F97"/>
    <w:rsid w:val="009D27CB"/>
    <w:rsid w:val="009D2F6E"/>
    <w:rsid w:val="009E1827"/>
    <w:rsid w:val="009E3EA3"/>
    <w:rsid w:val="009E5697"/>
    <w:rsid w:val="009E634E"/>
    <w:rsid w:val="009F2188"/>
    <w:rsid w:val="009F4FDA"/>
    <w:rsid w:val="009F6CDA"/>
    <w:rsid w:val="00A135D7"/>
    <w:rsid w:val="00A15BDB"/>
    <w:rsid w:val="00A23223"/>
    <w:rsid w:val="00A2421C"/>
    <w:rsid w:val="00A34BD3"/>
    <w:rsid w:val="00A36D67"/>
    <w:rsid w:val="00A36EB8"/>
    <w:rsid w:val="00A40647"/>
    <w:rsid w:val="00A43653"/>
    <w:rsid w:val="00A5020B"/>
    <w:rsid w:val="00A617BE"/>
    <w:rsid w:val="00A636B8"/>
    <w:rsid w:val="00A70F83"/>
    <w:rsid w:val="00A73C75"/>
    <w:rsid w:val="00A7627D"/>
    <w:rsid w:val="00A829F5"/>
    <w:rsid w:val="00A832BC"/>
    <w:rsid w:val="00A8550A"/>
    <w:rsid w:val="00A93B1A"/>
    <w:rsid w:val="00A97FD1"/>
    <w:rsid w:val="00AA7E46"/>
    <w:rsid w:val="00AB5483"/>
    <w:rsid w:val="00AC6CC2"/>
    <w:rsid w:val="00AC6F1C"/>
    <w:rsid w:val="00AD0F2B"/>
    <w:rsid w:val="00AD39DD"/>
    <w:rsid w:val="00AF0DE2"/>
    <w:rsid w:val="00B018B4"/>
    <w:rsid w:val="00B10998"/>
    <w:rsid w:val="00B11D4B"/>
    <w:rsid w:val="00B25C8D"/>
    <w:rsid w:val="00B26720"/>
    <w:rsid w:val="00B27BCF"/>
    <w:rsid w:val="00B27CFA"/>
    <w:rsid w:val="00B33F70"/>
    <w:rsid w:val="00B370AC"/>
    <w:rsid w:val="00B45D9F"/>
    <w:rsid w:val="00B51D0E"/>
    <w:rsid w:val="00B53E83"/>
    <w:rsid w:val="00B71C49"/>
    <w:rsid w:val="00B72537"/>
    <w:rsid w:val="00B8084E"/>
    <w:rsid w:val="00B861E8"/>
    <w:rsid w:val="00B905A7"/>
    <w:rsid w:val="00B96F39"/>
    <w:rsid w:val="00BC0EFC"/>
    <w:rsid w:val="00BD3327"/>
    <w:rsid w:val="00BD7506"/>
    <w:rsid w:val="00BE34CC"/>
    <w:rsid w:val="00BE61AF"/>
    <w:rsid w:val="00BF1FB7"/>
    <w:rsid w:val="00BF7F5F"/>
    <w:rsid w:val="00C00EE1"/>
    <w:rsid w:val="00C12341"/>
    <w:rsid w:val="00C1537A"/>
    <w:rsid w:val="00C162AD"/>
    <w:rsid w:val="00C2003B"/>
    <w:rsid w:val="00C25337"/>
    <w:rsid w:val="00C26798"/>
    <w:rsid w:val="00C30B13"/>
    <w:rsid w:val="00C329A1"/>
    <w:rsid w:val="00C36845"/>
    <w:rsid w:val="00C46B43"/>
    <w:rsid w:val="00C520E7"/>
    <w:rsid w:val="00C524D4"/>
    <w:rsid w:val="00C535F1"/>
    <w:rsid w:val="00C6272B"/>
    <w:rsid w:val="00C6516C"/>
    <w:rsid w:val="00C661D1"/>
    <w:rsid w:val="00C73894"/>
    <w:rsid w:val="00CA37EF"/>
    <w:rsid w:val="00CC0062"/>
    <w:rsid w:val="00CC2263"/>
    <w:rsid w:val="00CC5CC8"/>
    <w:rsid w:val="00CC76C6"/>
    <w:rsid w:val="00CD1DC6"/>
    <w:rsid w:val="00CD7DB2"/>
    <w:rsid w:val="00CE049E"/>
    <w:rsid w:val="00CE64F8"/>
    <w:rsid w:val="00D00318"/>
    <w:rsid w:val="00D0375E"/>
    <w:rsid w:val="00D1191F"/>
    <w:rsid w:val="00D11D63"/>
    <w:rsid w:val="00D15DA6"/>
    <w:rsid w:val="00D176B4"/>
    <w:rsid w:val="00D30E29"/>
    <w:rsid w:val="00D31567"/>
    <w:rsid w:val="00D36AAB"/>
    <w:rsid w:val="00D36E5C"/>
    <w:rsid w:val="00D44BAF"/>
    <w:rsid w:val="00D45D9C"/>
    <w:rsid w:val="00D501F5"/>
    <w:rsid w:val="00D50E45"/>
    <w:rsid w:val="00D6405A"/>
    <w:rsid w:val="00D65FBC"/>
    <w:rsid w:val="00D67FE5"/>
    <w:rsid w:val="00D73E90"/>
    <w:rsid w:val="00D825A9"/>
    <w:rsid w:val="00D931A4"/>
    <w:rsid w:val="00D95704"/>
    <w:rsid w:val="00DA36BB"/>
    <w:rsid w:val="00DB6227"/>
    <w:rsid w:val="00DC16C8"/>
    <w:rsid w:val="00DC6BF7"/>
    <w:rsid w:val="00DD1100"/>
    <w:rsid w:val="00DD5C2C"/>
    <w:rsid w:val="00DD69A7"/>
    <w:rsid w:val="00DD6C05"/>
    <w:rsid w:val="00DD7DE0"/>
    <w:rsid w:val="00DE1EE3"/>
    <w:rsid w:val="00DE40EF"/>
    <w:rsid w:val="00DF2DE7"/>
    <w:rsid w:val="00DF6326"/>
    <w:rsid w:val="00DF79D4"/>
    <w:rsid w:val="00E00D67"/>
    <w:rsid w:val="00E05266"/>
    <w:rsid w:val="00E11577"/>
    <w:rsid w:val="00E245FC"/>
    <w:rsid w:val="00E26ADA"/>
    <w:rsid w:val="00E3062F"/>
    <w:rsid w:val="00E3066E"/>
    <w:rsid w:val="00E45657"/>
    <w:rsid w:val="00E46A3F"/>
    <w:rsid w:val="00E56337"/>
    <w:rsid w:val="00E57D78"/>
    <w:rsid w:val="00E64D04"/>
    <w:rsid w:val="00E654D6"/>
    <w:rsid w:val="00EA318C"/>
    <w:rsid w:val="00EA5B6B"/>
    <w:rsid w:val="00EB03F7"/>
    <w:rsid w:val="00EC15CC"/>
    <w:rsid w:val="00EC61F3"/>
    <w:rsid w:val="00ED1892"/>
    <w:rsid w:val="00ED4AA0"/>
    <w:rsid w:val="00EE37D2"/>
    <w:rsid w:val="00EE67F1"/>
    <w:rsid w:val="00EE6EDF"/>
    <w:rsid w:val="00EF2635"/>
    <w:rsid w:val="00EF6580"/>
    <w:rsid w:val="00F14DC0"/>
    <w:rsid w:val="00F16CCD"/>
    <w:rsid w:val="00F2314B"/>
    <w:rsid w:val="00F24E98"/>
    <w:rsid w:val="00F47481"/>
    <w:rsid w:val="00F512DB"/>
    <w:rsid w:val="00F60AE1"/>
    <w:rsid w:val="00F648A1"/>
    <w:rsid w:val="00F73BBB"/>
    <w:rsid w:val="00F74BA9"/>
    <w:rsid w:val="00F75033"/>
    <w:rsid w:val="00F75EA0"/>
    <w:rsid w:val="00F80FE1"/>
    <w:rsid w:val="00F85C86"/>
    <w:rsid w:val="00F871A3"/>
    <w:rsid w:val="00F93F61"/>
    <w:rsid w:val="00FA314E"/>
    <w:rsid w:val="00FB075D"/>
    <w:rsid w:val="00FD465D"/>
    <w:rsid w:val="00FE18E1"/>
    <w:rsid w:val="00FF5416"/>
    <w:rsid w:val="00FF7E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68A3FA"/>
  <w15:chartTrackingRefBased/>
  <w15:docId w15:val="{9EA1CFBC-317A-48CB-91D1-1C40B077B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D4B"/>
    <w:pPr>
      <w:bidi/>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1D4B"/>
    <w:pPr>
      <w:ind w:left="720"/>
      <w:contextualSpacing/>
    </w:pPr>
  </w:style>
  <w:style w:type="character" w:styleId="Hyperlink">
    <w:name w:val="Hyperlink"/>
    <w:uiPriority w:val="99"/>
    <w:unhideWhenUsed/>
    <w:rsid w:val="00B11D4B"/>
    <w:rPr>
      <w:color w:val="0000FF"/>
      <w:u w:val="single"/>
    </w:rPr>
  </w:style>
  <w:style w:type="paragraph" w:styleId="Header">
    <w:name w:val="header"/>
    <w:basedOn w:val="Normal"/>
    <w:link w:val="HeaderChar"/>
    <w:uiPriority w:val="99"/>
    <w:unhideWhenUsed/>
    <w:rsid w:val="00B11D4B"/>
    <w:pPr>
      <w:tabs>
        <w:tab w:val="center" w:pos="4153"/>
        <w:tab w:val="right" w:pos="8306"/>
      </w:tabs>
    </w:pPr>
  </w:style>
  <w:style w:type="character" w:customStyle="1" w:styleId="HeaderChar">
    <w:name w:val="Header Char"/>
    <w:basedOn w:val="DefaultParagraphFont"/>
    <w:link w:val="Header"/>
    <w:uiPriority w:val="99"/>
    <w:rsid w:val="00B11D4B"/>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B11D4B"/>
    <w:pPr>
      <w:tabs>
        <w:tab w:val="center" w:pos="4153"/>
        <w:tab w:val="right" w:pos="8306"/>
      </w:tabs>
    </w:pPr>
  </w:style>
  <w:style w:type="character" w:customStyle="1" w:styleId="FooterChar">
    <w:name w:val="Footer Char"/>
    <w:basedOn w:val="DefaultParagraphFont"/>
    <w:link w:val="Footer"/>
    <w:uiPriority w:val="99"/>
    <w:rsid w:val="00B11D4B"/>
    <w:rPr>
      <w:rFonts w:ascii="Times New Roman" w:eastAsia="Times New Roman" w:hAnsi="Times New Roman" w:cs="Times New Roman"/>
      <w:kern w:val="0"/>
      <w:sz w:val="24"/>
      <w:szCs w:val="24"/>
      <w14:ligatures w14:val="none"/>
    </w:rPr>
  </w:style>
  <w:style w:type="numbering" w:customStyle="1" w:styleId="Style1">
    <w:name w:val="Style1"/>
    <w:uiPriority w:val="99"/>
    <w:rsid w:val="009C70A7"/>
    <w:pPr>
      <w:numPr>
        <w:numId w:val="12"/>
      </w:numPr>
    </w:pPr>
  </w:style>
  <w:style w:type="paragraph" w:styleId="Revision">
    <w:name w:val="Revision"/>
    <w:hidden/>
    <w:uiPriority w:val="99"/>
    <w:semiHidden/>
    <w:rsid w:val="0085585C"/>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3C08D4"/>
    <w:rPr>
      <w:sz w:val="16"/>
      <w:szCs w:val="16"/>
    </w:rPr>
  </w:style>
  <w:style w:type="paragraph" w:styleId="CommentText">
    <w:name w:val="annotation text"/>
    <w:basedOn w:val="Normal"/>
    <w:link w:val="CommentTextChar"/>
    <w:uiPriority w:val="99"/>
    <w:unhideWhenUsed/>
    <w:rsid w:val="003C08D4"/>
    <w:rPr>
      <w:sz w:val="20"/>
      <w:szCs w:val="20"/>
    </w:rPr>
  </w:style>
  <w:style w:type="character" w:customStyle="1" w:styleId="CommentTextChar">
    <w:name w:val="Comment Text Char"/>
    <w:basedOn w:val="DefaultParagraphFont"/>
    <w:link w:val="CommentText"/>
    <w:uiPriority w:val="99"/>
    <w:rsid w:val="003C08D4"/>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C08D4"/>
    <w:rPr>
      <w:b/>
      <w:bCs/>
    </w:rPr>
  </w:style>
  <w:style w:type="character" w:customStyle="1" w:styleId="CommentSubjectChar">
    <w:name w:val="Comment Subject Char"/>
    <w:basedOn w:val="CommentTextChar"/>
    <w:link w:val="CommentSubject"/>
    <w:uiPriority w:val="99"/>
    <w:semiHidden/>
    <w:rsid w:val="003C08D4"/>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506037">
      <w:bodyDiv w:val="1"/>
      <w:marLeft w:val="0"/>
      <w:marRight w:val="0"/>
      <w:marTop w:val="0"/>
      <w:marBottom w:val="0"/>
      <w:divBdr>
        <w:top w:val="none" w:sz="0" w:space="0" w:color="auto"/>
        <w:left w:val="none" w:sz="0" w:space="0" w:color="auto"/>
        <w:bottom w:val="none" w:sz="0" w:space="0" w:color="auto"/>
        <w:right w:val="none" w:sz="0" w:space="0" w:color="auto"/>
      </w:divBdr>
    </w:div>
    <w:div w:id="1234003580">
      <w:bodyDiv w:val="1"/>
      <w:marLeft w:val="0"/>
      <w:marRight w:val="0"/>
      <w:marTop w:val="0"/>
      <w:marBottom w:val="0"/>
      <w:divBdr>
        <w:top w:val="none" w:sz="0" w:space="0" w:color="auto"/>
        <w:left w:val="none" w:sz="0" w:space="0" w:color="auto"/>
        <w:bottom w:val="none" w:sz="0" w:space="0" w:color="auto"/>
        <w:right w:val="none" w:sz="0" w:space="0" w:color="auto"/>
      </w:divBdr>
    </w:div>
    <w:div w:id="1497455742">
      <w:bodyDiv w:val="1"/>
      <w:marLeft w:val="0"/>
      <w:marRight w:val="0"/>
      <w:marTop w:val="0"/>
      <w:marBottom w:val="0"/>
      <w:divBdr>
        <w:top w:val="none" w:sz="0" w:space="0" w:color="auto"/>
        <w:left w:val="none" w:sz="0" w:space="0" w:color="auto"/>
        <w:bottom w:val="none" w:sz="0" w:space="0" w:color="auto"/>
        <w:right w:val="none" w:sz="0" w:space="0" w:color="auto"/>
      </w:divBdr>
    </w:div>
    <w:div w:id="208321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D89DC-C034-4FDF-9B40-0E7455F4C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6232</Words>
  <Characters>30054</Characters>
  <Application>Microsoft Office Word</Application>
  <DocSecurity>0</DocSecurity>
  <Lines>823</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Mawten CO.</dc:creator>
  <cp:keywords/>
  <dc:description/>
  <cp:lastModifiedBy>Mawten CO.</cp:lastModifiedBy>
  <cp:revision>3</cp:revision>
  <cp:lastPrinted>2024-11-11T13:07:00Z</cp:lastPrinted>
  <dcterms:created xsi:type="dcterms:W3CDTF">2024-11-30T17:53:00Z</dcterms:created>
  <dcterms:modified xsi:type="dcterms:W3CDTF">2024-11-30T17:58:00Z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980c6c008b3173054d8e4fc82c09c04cd7e41c1b32c21caec4275125430d4ac7</vt:lpwstr>
  </property>
</Properties>
</file>